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Calibri" w:hAnsi="Calibri"/>
          <w:b/>
          <w:color w:val="0B2A4A"/>
          <w:sz w:val="72"/>
        </w:rPr>
        <w:t>BPC-157</w:t>
      </w:r>
    </w:p>
    <w:p>
      <w:pPr>
        <w:jc w:val="center"/>
      </w:pPr>
      <w:r>
        <w:rPr>
          <w:rFonts w:ascii="Calibri" w:hAnsi="Calibri"/>
          <w:b/>
          <w:color w:val="0B2A4A"/>
          <w:sz w:val="48"/>
        </w:rPr>
        <w:t>THE COMPLETE GUIDE</w:t>
      </w:r>
    </w:p>
    <w:p/>
    <w:p>
      <w:pPr>
        <w:jc w:val="center"/>
      </w:pPr>
      <w:r>
        <w:rPr>
          <w:rFonts w:ascii="Calibri" w:hAnsi="Calibri"/>
          <w:i/>
          <w:color w:val="000000"/>
          <w:sz w:val="26"/>
        </w:rPr>
        <w:t>A Comprehensive Review of the Science, Clinical Evidence,</w:t>
        <w:br/>
        <w:t>Controversies, and Commercial Potential of Body Protection Compound-157</w:t>
      </w:r>
    </w:p>
    <w:p/>
    <w:p/>
    <w:p>
      <w:pPr>
        <w:jc w:val="center"/>
      </w:pPr>
      <w:r>
        <w:rPr>
          <w:rFonts w:ascii="Calibri" w:hAnsi="Calibri"/>
          <w:color w:val="0B2A4A"/>
          <w:sz w:val="28"/>
        </w:rPr>
        <w:t>Prepared for Jonathan Jaycox</w:t>
      </w:r>
    </w:p>
    <w:p>
      <w:pPr>
        <w:jc w:val="center"/>
      </w:pPr>
      <w:r>
        <w:rPr>
          <w:rFonts w:ascii="Calibri" w:hAnsi="Calibri"/>
          <w:color w:val="000000"/>
          <w:sz w:val="24"/>
        </w:rPr>
        <w:t>April 2, 2026</w:t>
      </w:r>
    </w:p>
    <w:p/>
    <w:p>
      <w:pPr>
        <w:jc w:val="center"/>
      </w:pPr>
      <w:r>
        <w:rPr>
          <w:rFonts w:ascii="Calibri" w:hAnsi="Calibri"/>
          <w:i/>
          <w:color w:val="0B2A4A"/>
          <w:sz w:val="24"/>
        </w:rPr>
        <w:t>Addison West</w:t>
      </w:r>
    </w:p>
    <w:p>
      <w:r>
        <w:br w:type="page"/>
      </w:r>
    </w:p>
    <w:p>
      <w:pPr>
        <w:pStyle w:val="Heading1"/>
      </w:pPr>
      <w:r>
        <w:rPr>
          <w:rFonts w:ascii="Calibri" w:hAnsi="Calibri"/>
          <w:color w:val="0B2A4A"/>
        </w:rPr>
        <w:t>Table of Contents</w:t>
      </w:r>
    </w:p>
    <w:p>
      <w:r>
        <w:rPr>
          <w:rFonts w:ascii="Calibri" w:hAnsi="Calibri"/>
          <w:color w:val="0B2A4A"/>
          <w:sz w:val="22"/>
        </w:rPr>
        <w:t>Chapter 1: What Is BPC-157</w:t>
      </w:r>
    </w:p>
    <w:p>
      <w:r>
        <w:rPr>
          <w:rFonts w:ascii="Calibri" w:hAnsi="Calibri"/>
          <w:color w:val="0B2A4A"/>
          <w:sz w:val="22"/>
        </w:rPr>
        <w:t>Chapter 2: History and Discovery</w:t>
      </w:r>
    </w:p>
    <w:p>
      <w:r>
        <w:rPr>
          <w:rFonts w:ascii="Calibri" w:hAnsi="Calibri"/>
          <w:color w:val="0B2A4A"/>
          <w:sz w:val="22"/>
        </w:rPr>
        <w:t>Chapter 3: The Amino Acid Sequence</w:t>
      </w:r>
    </w:p>
    <w:p>
      <w:r>
        <w:rPr>
          <w:rFonts w:ascii="Calibri" w:hAnsi="Calibri"/>
          <w:color w:val="0B2A4A"/>
          <w:sz w:val="22"/>
        </w:rPr>
        <w:t>Chapter 4: Mechanisms of Action</w:t>
      </w:r>
    </w:p>
    <w:p>
      <w:r>
        <w:rPr>
          <w:rFonts w:ascii="Calibri" w:hAnsi="Calibri"/>
          <w:color w:val="0B2A4A"/>
          <w:sz w:val="22"/>
        </w:rPr>
        <w:t>Chapter 5: What BPC-157 Heals</w:t>
      </w:r>
    </w:p>
    <w:p>
      <w:r>
        <w:rPr>
          <w:rFonts w:ascii="Calibri" w:hAnsi="Calibri"/>
          <w:color w:val="0B2A4A"/>
          <w:sz w:val="22"/>
        </w:rPr>
        <w:t>Chapter 6: Pharmacokinetics</w:t>
      </w:r>
    </w:p>
    <w:p>
      <w:r>
        <w:rPr>
          <w:rFonts w:ascii="Calibri" w:hAnsi="Calibri"/>
          <w:color w:val="0B2A4A"/>
          <w:sz w:val="22"/>
        </w:rPr>
        <w:t>Chapter 7: Safety and Toxicology</w:t>
      </w:r>
    </w:p>
    <w:p>
      <w:r>
        <w:rPr>
          <w:rFonts w:ascii="Calibri" w:hAnsi="Calibri"/>
          <w:color w:val="0B2A4A"/>
          <w:sz w:val="22"/>
        </w:rPr>
        <w:t>Chapter 8: Human Studies</w:t>
      </w:r>
    </w:p>
    <w:p>
      <w:r>
        <w:rPr>
          <w:rFonts w:ascii="Calibri" w:hAnsi="Calibri"/>
          <w:color w:val="0B2A4A"/>
          <w:sz w:val="22"/>
        </w:rPr>
        <w:t>Chapter 9: The Controversies</w:t>
      </w:r>
    </w:p>
    <w:p>
      <w:r>
        <w:rPr>
          <w:rFonts w:ascii="Calibri" w:hAnsi="Calibri"/>
          <w:color w:val="0B2A4A"/>
          <w:sz w:val="22"/>
        </w:rPr>
        <w:t>Chapter 10: Regulatory Landscape</w:t>
      </w:r>
    </w:p>
    <w:p>
      <w:r>
        <w:rPr>
          <w:rFonts w:ascii="Calibri" w:hAnsi="Calibri"/>
          <w:color w:val="0B2A4A"/>
          <w:sz w:val="22"/>
        </w:rPr>
        <w:t>Chapter 11: Competitive Landscape</w:t>
      </w:r>
    </w:p>
    <w:p>
      <w:r>
        <w:rPr>
          <w:rFonts w:ascii="Calibri" w:hAnsi="Calibri"/>
          <w:color w:val="0B2A4A"/>
          <w:sz w:val="22"/>
        </w:rPr>
        <w:t>Chapter 12: The Business Case for a Modified Analog</w:t>
      </w:r>
    </w:p>
    <w:p>
      <w:r>
        <w:rPr>
          <w:rFonts w:ascii="Calibri" w:hAnsi="Calibri"/>
          <w:color w:val="0B2A4A"/>
          <w:sz w:val="22"/>
        </w:rPr>
        <w:t>Chapter 13: Glossary</w:t>
      </w:r>
    </w:p>
    <w:p>
      <w:r>
        <w:br w:type="page"/>
      </w:r>
    </w:p>
    <w:p>
      <w:pPr>
        <w:pStyle w:val="Heading1"/>
      </w:pPr>
      <w:r>
        <w:rPr>
          <w:rFonts w:ascii="Calibri" w:hAnsi="Calibri"/>
          <w:color w:val="0B2A4A"/>
        </w:rPr>
        <w:t>Chapter 1: What Is BPC-157</w:t>
      </w:r>
    </w:p>
    <w:p>
      <w:r>
        <w:rPr>
          <w:rFonts w:ascii="Calibri" w:hAnsi="Calibri"/>
          <w:b w:val="0"/>
          <w:i w:val="0"/>
          <w:sz w:val="22"/>
        </w:rPr>
        <w:t>Body Protection Compound-157, commonly abbreviated as BPC-157, is a synthetic pentadecapeptide composed of fifteen amino acids. Its full chemical designation is bepecin, and it is also referred to by its research code PL 14736. The compound derives from a naturally occurring protein found in human gastric juice, a complex mixture of hydrochloric acid, enzymes, mucus, and various protective compounds secreted by the stomach lining. BPC-157 represents a specific fifteen-amino-acid fragment of a larger parent protein called Body Protection Compound, which was first isolated by researchers studying the cytoprotective properties of gastric juice in the 1980s. The peptide's amino acid sequence is Gly-Glu-Pro-Pro-Pro-Gly-Lys-Pro-Ala-Asp-Asp-Ala-Gly-Leu-Val, and it has a molecular weight of approximately 1,419.53 Daltons. This relatively small size places BPC-157 firmly in the category of short peptides, smaller than most therapeutic proteins but larger than simple dipeptide or tripeptide molecules used in nutritional supplements.</w:t>
      </w:r>
    </w:p>
    <w:p>
      <w:r>
        <w:rPr>
          <w:rFonts w:ascii="Calibri" w:hAnsi="Calibri"/>
          <w:b w:val="0"/>
          <w:i w:val="0"/>
          <w:sz w:val="22"/>
        </w:rPr>
        <w:t>To understand what BPC-157 is, it helps to understand what peptides are in general. Proteins are the workhorses of biology. They form the structural framework of your tissues, catalyze every chemical reaction in your body, carry messages between cells, and defend you against infection. Every protein is built from smaller building blocks called amino acids, which are simple organic molecules that contain both an amino group (a nitrogen atom bonded to hydrogen atoms) and a carboxylic acid group (a carbon atom double-bonded to an oxygen atom). There are twenty standard amino acids used by the human body, each with a unique side chain that gives it distinct chemical properties. Some are positively charged (like lysine), some are negatively charged (like glutamic acid and aspartic acid), some are hydrophobic and repel water (like leucine and valine), and some are small and flexible (like glycine). When amino acids link together in a chain through chemical bonds called peptide bonds, they form a peptide. Short chains of fewer than about fifty amino acids are generally called peptides, while longer chains are called proteins. BPC-157, with its fifteen amino acids, is therefore a peptide — specifically a pentadecapeptide, from the Greek 'pentadeca' meaning fifteen.</w:t>
      </w:r>
    </w:p>
    <w:p>
      <w:r>
        <w:rPr>
          <w:rFonts w:ascii="Calibri" w:hAnsi="Calibri"/>
          <w:b w:val="0"/>
          <w:i w:val="0"/>
          <w:sz w:val="22"/>
        </w:rPr>
        <w:t>One of the most remarkable properties of BPC-157 is its extraordinary stability in acidic environments. Most peptides are rapidly degraded when exposed to the harsh conditions of the stomach, where hydrochloric acid creates a pH as low as 1.5 and powerful digestive enzymes like pepsin actively cleave peptide bonds. This is why most peptide drugs, such as insulin, must be injected rather than taken orally — they would be destroyed in the stomach before reaching the bloodstream. BPC-157, however, has been demonstrated to remain stable in human gastric juice for more than 24 hours without significant degradation. This stability is believed to arise from its unique amino acid sequence, particularly the triple proline motif at positions 3, 4, and 5. Proline is an unusual amino acid because its side chain loops back and bonds to the nitrogen atom of its own amino group, creating a rigid ring structure. Three prolines in a row create a polyproline helix, a stiff structural element that resists the conformational changes needed for enzymatic cleavage. This gastric stability is foundational to the therapeutic potential of BPC-157, as it raises the possibility of oral administration — a holy grail in peptide drug development.</w:t>
      </w:r>
    </w:p>
    <w:p>
      <w:r>
        <w:rPr>
          <w:rFonts w:ascii="Calibri" w:hAnsi="Calibri"/>
          <w:b w:val="0"/>
          <w:i w:val="0"/>
          <w:sz w:val="22"/>
        </w:rPr>
        <w:t>It is critically important to understand what BPC-157 is not. BPC-157 is not a steroid. Steroids are lipid molecules built on a characteristic four-ring carbon skeleton; they include hormones like testosterone, estrogen, and cortisol, as well as synthetic anabolic steroids used (and abused) to build muscle. BPC-157 has no structural or functional relationship to steroids. It does not bind to androgen receptors, does not increase testosterone levels, and does not produce the virilizing side effects associated with anabolic steroid use. BPC-157 is also not a hormone. Hormones are signaling molecules produced by endocrine glands and secreted into the bloodstream to act on distant target tissues. While BPC-157 does influence numerous signaling pathways, it is not produced by any known endocrine gland, does not circulate at measurable basal levels in the blood, and does not appear to function through classical hormone-receptor mechanisms. Instead, BPC-157 appears to act as a local protective and regenerative factor, modulating multiple cellular pathways involved in tissue repair, inflammation, and blood vessel formation.</w:t>
      </w:r>
    </w:p>
    <w:p>
      <w:r>
        <w:rPr>
          <w:rFonts w:ascii="Calibri" w:hAnsi="Calibri"/>
          <w:b w:val="0"/>
          <w:i w:val="0"/>
          <w:sz w:val="22"/>
        </w:rPr>
        <w:t>The compound has attracted intense interest in both the scientific and athletic communities because of the breadth of its reported effects. Over 150 peer-reviewed papers have described beneficial effects in models of gastrointestinal ulcers, tendon injuries, muscle tears, bone fractures, nerve damage, traumatic brain injury, liver toxicity, cardiovascular dysfunction, and more. No other single peptide in the scientific literature has been reported to affect so many different tissue types and disease models. This breadth has led some researchers to describe BPC-157 as a 'pleiotropic' agent, meaning one that acts through multiple pathways to produce diverse effects. However, this same breadth has also attracted skepticism. Critics note that most of the published research comes from a single laboratory group in Zagreb, Croatia, and that the peptide's reported universality seems too good to be true. This tension between extraordinary promise and limited independent validation is the central story of BPC-157, and understanding it requires a thorough examination of the science, the history, the controversies, and the commercial landscape — which is precisely what this guide provides.</w:t>
      </w:r>
    </w:p>
    <w:p>
      <w:r>
        <w:rPr>
          <w:rFonts w:ascii="Calibri" w:hAnsi="Calibri"/>
          <w:b w:val="0"/>
          <w:i w:val="0"/>
          <w:sz w:val="22"/>
        </w:rPr>
        <w:t>Despite the controversies, BPC-157 has become one of the most widely discussed peptides in the biohacking and sports medicine communities. Underground forums, particularly on Reddit, contain thousands of self-reported experiences from individuals who have purchased BPC-157 from research chemical suppliers and administered it to themselves, typically by subcutaneous injection near the site of an injury. These anecdotal reports frequently describe accelerated healing of tendon injuries, resolution of chronic joint pain, improvement in gut symptoms, and enhanced recovery from surgery. While anecdotal evidence cannot substitute for controlled clinical trials, the volume and consistency of these reports have contributed to the growing demand for rigorous human studies. The scientific community stands at an inflection point with BPC-157: the preclinical evidence is extensive if concentrated, the anecdotal evidence is voluminous if uncontrolled, and the first real clinical trials are only now beginning to generate data.</w:t>
      </w:r>
    </w:p>
    <w:p>
      <w:r>
        <w:br w:type="page"/>
      </w:r>
    </w:p>
    <w:p>
      <w:pPr>
        <w:pStyle w:val="Heading1"/>
      </w:pPr>
      <w:r>
        <w:rPr>
          <w:rFonts w:ascii="Calibri" w:hAnsi="Calibri"/>
          <w:color w:val="0B2A4A"/>
        </w:rPr>
        <w:t>Chapter 2: History and Discovery</w:t>
      </w:r>
    </w:p>
    <w:p>
      <w:r>
        <w:rPr>
          <w:rFonts w:ascii="Calibri" w:hAnsi="Calibri"/>
          <w:b w:val="0"/>
          <w:i w:val="0"/>
          <w:sz w:val="22"/>
        </w:rPr>
        <w:t>The story of BPC-157 begins in the laboratory of Dr. Predrag Sikiric at the University of Zagreb School of Medicine in Croatia, during the early 1980s. Dr. Sikiric, a professor of pharmacology, was studying the phenomenon of gastric cytoprotection — the remarkable ability of the stomach lining to protect itself from the corrosive acid and enzymes it produces. The concept of cytoprotection had been introduced in the late 1970s by André Robert at Upjohn, who demonstrated that prostaglandins could protect the gastric mucosa from damage even at doses too low to inhibit acid secretion. Sikiric and his colleagues were interested in whether the gastric juice itself contained protective factors beyond prostaglandins. They hypothesized that the stomach's protective capacity was not solely due to the mucus-bicarbonate barrier or prostaglandin synthesis, but also involved specific peptides and proteins present in the gastric juice that actively promoted tissue repair and resilience.</w:t>
      </w:r>
    </w:p>
    <w:p>
      <w:r>
        <w:rPr>
          <w:rFonts w:ascii="Calibri" w:hAnsi="Calibri"/>
          <w:b w:val="0"/>
          <w:i w:val="0"/>
          <w:sz w:val="22"/>
        </w:rPr>
        <w:t>Working at the Department of Pharmacology in Zagreb, Sikiric's group began systematically fractionating human gastric juice — separating it into its component parts using techniques like gel filtration chromatography, high-performance liquid chromatography (HPLC), and electrophoresis. They identified a protein fraction that, when administered to rats, demonstrated powerful protective effects against various forms of experimentally induced tissue damage. They named this fraction 'Body Protection Compound' to reflect its broadly protective nature. The full-length BPC protein proved difficult to work with due to its size and instability. However, a specific fifteen-amino-acid fragment of this protein retained the biological activity of the parent compound while being far more stable and easier to synthesize. This fragment — BPC-157 — became the focus of what would eventually become one of the most extensive research programs in peptide pharmacology.</w:t>
      </w:r>
    </w:p>
    <w:p>
      <w:r>
        <w:rPr>
          <w:rFonts w:ascii="Calibri" w:hAnsi="Calibri"/>
          <w:b w:val="0"/>
          <w:i w:val="0"/>
          <w:sz w:val="22"/>
        </w:rPr>
        <w:t>The first significant publication on BPC-157 appeared in 1993 in the Journal of Physiology (Paris), where Sikiric and colleagues reported that the peptide exhibited potent cytoprotective and healing effects on various gastrointestinal lesion models in rats. The paper described how BPC-157, administered at microgram doses, could accelerate healing of gastric ulcers induced by cysteamine, acetic acid, and restraint stress. Importantly, the peptide appeared to work through mechanisms distinct from those of existing anti-ulcer drugs like proton pump inhibitors or H2 receptor antagonists. Rather than reducing acid secretion, BPC-157 appeared to enhance the stomach's intrinsic repair mechanisms — promoting angiogenesis (the formation of new blood vessels), stimulating granulation tissue formation, and modulating the inflammatory response. This 1993 publication marked the formal entry of BPC-157 into the scientific literature and established the foundation upon which all subsequent research would build.</w:t>
      </w:r>
    </w:p>
    <w:p>
      <w:r>
        <w:rPr>
          <w:rFonts w:ascii="Calibri" w:hAnsi="Calibri"/>
          <w:b w:val="0"/>
          <w:i w:val="0"/>
          <w:sz w:val="22"/>
        </w:rPr>
        <w:t>Throughout the 1990s and 2000s, Sikiric's laboratory produced a steady stream of publications expanding the scope of BPC-157's reported activities far beyond gastrointestinal protection. The group published studies showing beneficial effects in models of tendon healing, muscle repair, bone fracture, nerve regeneration, traumatic brain injury, liver damage, and cardiovascular dysfunction. Each new publication seemed to add another organ system or disease model to BPC-157's portfolio. The research group grew to include several key collaborators, most notably Professor Sven Seiwerth, a pathologist who provided histological analysis for many of the studies, and a rotating cast of graduate students and junior researchers who contributed to specific projects. The Zagreb group's output was prolific — by 2020, they had published well over 100 papers on BPC-157, making it one of the most extensively studied peptides in preclinical pharmacology.</w:t>
      </w:r>
    </w:p>
    <w:p>
      <w:r>
        <w:rPr>
          <w:rFonts w:ascii="Calibri" w:hAnsi="Calibri"/>
          <w:b w:val="0"/>
          <w:i w:val="0"/>
          <w:sz w:val="22"/>
        </w:rPr>
        <w:t>A critical contribution to BPC-157 research came from outside the Zagreb group beginning in the mid-2010s. Dr. Ming-Jer Hsieh and colleagues at Chung Shan Medical University in Taiwan conducted a series of elegant mechanistic studies that helped elucidate the molecular pathways through which BPC-157 exerts its effects. The Hsieh group's 2017 paper in the International Journal of Molecular Sciences demonstrated that BPC-157 activates the VEGFR2-Akt-eNOS signaling axis in human umbilical vein endothelial cells (HUVECs), providing the first clear molecular mechanism for the peptide's well-documented angiogenic properties. Their 2020 follow-up study identified a parallel Src-Caveolin-1-eNOS pathway, further detailing how BPC-157 promotes nitric oxide production in endothelial cells. These mechanistic studies from an independent laboratory were significant because they provided molecular-level confirmation of effects that had previously been observed only at the tissue and organ level by the Zagreb group, lending additional credibility to the BPC-157 literature.</w:t>
      </w:r>
    </w:p>
    <w:p>
      <w:r>
        <w:rPr>
          <w:rFonts w:ascii="Calibri" w:hAnsi="Calibri"/>
          <w:b w:val="0"/>
          <w:i w:val="0"/>
          <w:sz w:val="22"/>
        </w:rPr>
        <w:t>The commercial and pharmaceutical history of BPC-157 is intertwined with several Croatian and Slovenian entities. Diagen d.o.o., a company based in Ljubljana, Slovenia, has been the primary manufacturer and supplier of research-grade BPC-157 peptide. Diagen holds certain intellectual property rights related to BPC-157 and has been involved in licensing discussions with pharmaceutical companies. Notably, Dr. Sikiric himself has a financial relationship with Diagen, a potential conflict of interest that has been noted by critics but is not always prominently disclosed in his publications. PLIVA, a major Croatian pharmaceutical company (later acquired by Barr Pharmaceuticals and subsequently by Teva), was involved in early clinical development of BPC-157 in the late 1990s and early 2000s. PLIVA reportedly conducted pilot clinical studies in patients with ulcerative colitis, but the results of these trials were never published in the peer-reviewed literature — a troubling gap in the BPC-157 evidence base that has fueled speculation about whether the trials produced negative or equivocal results.</w:t>
      </w:r>
    </w:p>
    <w:p>
      <w:r>
        <w:rPr>
          <w:rFonts w:ascii="Calibri" w:hAnsi="Calibri"/>
          <w:b w:val="0"/>
          <w:i w:val="0"/>
          <w:sz w:val="22"/>
        </w:rPr>
        <w:t>Another key entity in the BPC-157 story is PharmaCotherapia, a Croatian company that registered a Phase I clinical trial of BPC-157 on ClinicalTrials.gov under the identifier NCT02637284. This trial, registered in 2015, was designed to evaluate the safety and pharmacokinetics of BPC-157 in 42 healthy volunteers. The trial appeared to proceed to some extent — status updates suggested enrollment had begun — but the trial data were eventually withdrawn from the registry without publication. The withdrawal of this Phase I data is one of the most significant red flags in the BPC-157 story, as it represents the closest that BPC-157 has come to standard pharmaceutical development, and yet the results remain hidden from the scientific community. Whether PharmaCotherapia encountered safety issues, efficacy problems, or simply financial or organizational difficulties remains unknown.</w:t>
      </w:r>
    </w:p>
    <w:p>
      <w:r>
        <w:rPr>
          <w:rFonts w:ascii="Calibri" w:hAnsi="Calibri"/>
          <w:b w:val="0"/>
          <w:i w:val="0"/>
          <w:sz w:val="22"/>
        </w:rPr>
        <w:t>By 2024, more than 150 peer-reviewed papers had been published on BPC-157, the vast majority reporting positive results across an extraordinary range of disease models and organ systems. The compound had attracted a large underground following among athletes, biohackers, and patients with chronic conditions. Compounding pharmacies in the United States had begun selling BPC-157 preparations, and the peptide had become a topic of discussion in mainstream health media. This trajectory — from an obscure gastric peptide studied in a Croatian pharmacology laboratory to a globally discussed therapeutic candidate — represents one of the more unusual journeys in modern pharmaceutical history. The scientific foundation is substantial but concentrated, the commercial interest is intense but largely unregulated, and the path to legitimate clinical development remains fraught with challenges. The chapters that follow examine each dimension of this story in detail.</w:t>
      </w:r>
    </w:p>
    <w:p>
      <w:r>
        <w:br w:type="page"/>
      </w:r>
    </w:p>
    <w:p>
      <w:pPr>
        <w:pStyle w:val="Heading1"/>
      </w:pPr>
      <w:r>
        <w:rPr>
          <w:rFonts w:ascii="Calibri" w:hAnsi="Calibri"/>
          <w:color w:val="0B2A4A"/>
        </w:rPr>
        <w:t>Chapter 3: The Amino Acid Sequence</w:t>
      </w:r>
    </w:p>
    <w:p>
      <w:r>
        <w:rPr>
          <w:rFonts w:ascii="Calibri" w:hAnsi="Calibri"/>
          <w:b w:val="0"/>
          <w:i w:val="0"/>
          <w:sz w:val="22"/>
        </w:rPr>
        <w:t>The amino acid sequence of BPC-157 is Gly-Glu-Pro-Pro-Pro-Gly-Lys-Pro-Ala-Asp-Asp-Ala-Gly-Leu-Val. These fifteen amino acids, linked in a specific order through peptide bonds, create a molecule with distinct structural and functional properties. Understanding the sequence is essential for understanding both how BPC-157 works and how it might be modified to create improved analogs with better pharmacokinetic properties. Each amino acid in the sequence contributes to the overall structure, stability, solubility, and biological activity of the peptide. In this chapter, we examine each position in the sequence, the chemical properties of each amino acid, and how the overall sequence gives rise to BPC-157's unique characteristics.</w:t>
      </w:r>
    </w:p>
    <w:p>
      <w:pPr>
        <w:pStyle w:val="Heading2"/>
      </w:pPr>
      <w:r>
        <w:rPr>
          <w:rFonts w:ascii="Calibri" w:hAnsi="Calibri"/>
          <w:color w:val="0B2A4A"/>
        </w:rPr>
        <w:t>Position-by-Position Analysis</w:t>
      </w:r>
    </w:p>
    <w:p>
      <w:r>
        <w:rPr>
          <w:rFonts w:ascii="Calibri" w:hAnsi="Calibri"/>
          <w:b w:val="0"/>
          <w:i w:val="0"/>
          <w:sz w:val="22"/>
        </w:rPr>
        <w:t>Position 1: Glycine (Gly, G). Glycine is the simplest amino acid, with only a single hydrogen atom as its side chain. It is the smallest amino acid, which gives it exceptional conformational flexibility. At the N-terminus of BPC-157, glycine provides a flexible entry point into the peptide chain. Its small size means it does not impose significant steric constraints on the adjacent residues. In peptide chemistry, glycine at the N-terminus can also affect susceptibility to aminopeptidases, enzymes that cleave amino acids from the N-terminal end of peptides. Glycine is neither hydrophobic nor hydrophilic, making it a neutral starting point for the peptide chain.</w:t>
      </w:r>
    </w:p>
    <w:p>
      <w:r>
        <w:rPr>
          <w:rFonts w:ascii="Calibri" w:hAnsi="Calibri"/>
          <w:b w:val="0"/>
          <w:i w:val="0"/>
          <w:sz w:val="22"/>
        </w:rPr>
        <w:t>Position 2: Glutamic acid (Glu, E). Glutamic acid carries a negatively charged carboxylate group on its side chain at physiological pH (7.4). This negative charge contributes to the overall solubility of BPC-157 in aqueous solutions and may participate in electrostatic interactions with positively charged residues on target proteins or receptors. The placement of a charged residue early in the sequence ensures that the N-terminal region of BPC-157 is hydrophilic and accessible to the aqueous environment of body fluids. Glutamic acid is also a precursor to glutathione, the body's master antioxidant, though this is not directly relevant to its role in BPC-157.</w:t>
      </w:r>
    </w:p>
    <w:p>
      <w:r>
        <w:rPr>
          <w:rFonts w:ascii="Calibri" w:hAnsi="Calibri"/>
          <w:b w:val="0"/>
          <w:i w:val="0"/>
          <w:sz w:val="22"/>
        </w:rPr>
        <w:t>Positions 3, 4, and 5: Proline-Proline-Proline (Pro-Pro-Pro). The triple proline motif at positions 3 through 5 is arguably the most important structural feature of BPC-157. Proline is unique among the twenty standard amino acids because its side chain forms a five-membered ring that includes the backbone nitrogen atom. This cyclic structure severely restricts the conformational freedom of the peptide backbone at proline residues, forcing the backbone into specific dihedral angles that favor the formation of a polyproline II (PPII) helix. When three prolines occur consecutively, they create a short but well-defined PPII helical segment. The PPII helix is an extended, left-handed helix with approximately three residues per turn and a pitch of about 9.4 angstroms per turn. Unlike the alpha helix, which is stabilized by internal hydrogen bonds, the PPII helix is stabilized by steric repulsion between the proline rings and by hydrogen bonds with surrounding water molecules. This polyproline helix is believed to be central to BPC-157's extraordinary stability in gastric juice. The rigid proline rings resist the conformational distortion that pepsin and other proteases require to bind and cleave their substrates. In essence, the triple proline acts as a molecular shield, protecting the peptide from enzymatic degradation in the harsh stomach environment.</w:t>
      </w:r>
    </w:p>
    <w:p>
      <w:r>
        <w:rPr>
          <w:rFonts w:ascii="Calibri" w:hAnsi="Calibri"/>
          <w:b w:val="0"/>
          <w:i w:val="0"/>
          <w:sz w:val="22"/>
        </w:rPr>
        <w:t>Position 6: Glycine (Gly, G). The second glycine in the sequence acts as a conformational hinge between the rigid polyproline helix (positions 3-5) and the more flexible C-terminal half of the peptide. Glycine's lack of a side chain gives it the greatest backbone flexibility of any amino acid, and its placement here allows the peptide chain to bend or fold, potentially enabling the C-terminal residues to adopt conformations necessary for biological activity. This glycine may be critical for allowing BPC-157 to interact with its molecular targets by providing the conformational freedom needed to fit into receptor binding sites.</w:t>
      </w:r>
    </w:p>
    <w:p>
      <w:r>
        <w:rPr>
          <w:rFonts w:ascii="Calibri" w:hAnsi="Calibri"/>
          <w:b w:val="0"/>
          <w:i w:val="0"/>
          <w:sz w:val="22"/>
        </w:rPr>
        <w:t>Position 7: Lysine (Lys, K). Lysine carries a positively charged amino group on its long, flexible side chain at physiological pH. This positive charge balances the negative charges contributed by glutamic acid (position 2) and the two aspartic acid residues (positions 10 and 11), contributing to the overall charge distribution and solubility of the peptide. Lysine is one of the most commonly involved residues in protein-protein interactions, and its long flexible side chain can reach across distances to form salt bridges with negatively charged residues on target proteins. The lysine at position 7 is the only positively charged residue in BPC-157 and is therefore likely critical for electrostatic interactions with biological targets.</w:t>
      </w:r>
    </w:p>
    <w:p>
      <w:r>
        <w:rPr>
          <w:rFonts w:ascii="Calibri" w:hAnsi="Calibri"/>
          <w:b w:val="0"/>
          <w:i w:val="0"/>
          <w:sz w:val="22"/>
        </w:rPr>
        <w:t>Position 8: Proline (Pro, P). A fourth proline residue appears at position 8, adding additional rigidity to the mid-section of the peptide. While not part of the contiguous triple-proline helix, this proline may extend the structural rigidity further toward the C-terminus. The high proline content of BPC-157 (four out of fifteen residues, or 27%) is notable and contributes to the overall protease resistance of the molecule.</w:t>
      </w:r>
    </w:p>
    <w:p>
      <w:r>
        <w:rPr>
          <w:rFonts w:ascii="Calibri" w:hAnsi="Calibri"/>
          <w:b w:val="0"/>
          <w:i w:val="0"/>
          <w:sz w:val="22"/>
        </w:rPr>
        <w:t>Positions 9 and 12: Alanine (Ala, A). Alanine is a small, hydrophobic amino acid with a simple methyl group as its side chain. The two alanine residues at positions 9 and 12 provide hydrophobic character to the mid-section of the peptide without introducing significant steric bulk. Alanine is often considered a 'neutral' residue in peptide design, contributing to backbone structure without strongly influencing solubility, charge, or specific molecular interactions.</w:t>
      </w:r>
    </w:p>
    <w:p>
      <w:r>
        <w:rPr>
          <w:rFonts w:ascii="Calibri" w:hAnsi="Calibri"/>
          <w:b w:val="0"/>
          <w:i w:val="0"/>
          <w:sz w:val="22"/>
        </w:rPr>
        <w:t>Positions 10 and 11: Aspartic acid-Aspartic acid (Asp-Asp). The consecutive aspartic acid residues at positions 10 and 11 each carry a negatively charged carboxylate side chain at physiological pH. This creates a concentrated patch of negative charge in the middle of the peptide. The Asp-Asp motif is notable because it resembles the 'DD' motif found in many metal-binding and catalytic sites in enzymes. Whether the Asp-Asp motif in BPC-157 plays a role in metal coordination or serves primarily as a charged interaction surface is not yet known, but its conservation in the active fragment suggests functional importance. The combined negative charge of Glu-2, Asp-10, and Asp-11 gives BPC-157 a net charge of approximately -2 at physiological pH (offset partially by the +1 charge of Lys-7 and the N-terminal amine), making it an overall anionic peptide in solution.</w:t>
      </w:r>
    </w:p>
    <w:p>
      <w:r>
        <w:rPr>
          <w:rFonts w:ascii="Calibri" w:hAnsi="Calibri"/>
          <w:b w:val="0"/>
          <w:i w:val="0"/>
          <w:sz w:val="22"/>
        </w:rPr>
        <w:t>Position 13: Glycine (Gly, G). The third glycine in the sequence provides another flexible hinge point near the C-terminus. This glycine separates the charged Asp-Asp motif from the hydrophobic tail, potentially allowing the C-terminal leucine and valine to orient independently of the rest of the molecule.</w:t>
      </w:r>
    </w:p>
    <w:p>
      <w:r>
        <w:rPr>
          <w:rFonts w:ascii="Calibri" w:hAnsi="Calibri"/>
          <w:b w:val="0"/>
          <w:i w:val="0"/>
          <w:sz w:val="22"/>
        </w:rPr>
        <w:t>Positions 14 and 15: Leucine-Valine (Leu-Val). The C-terminal dipeptide is composed of two hydrophobic amino acids. Leucine has a four-carbon branched side chain, and valine has a three-carbon branched side chain. Together, they create a small hydrophobic surface at the C-terminus of BPC-157. This hydrophobic tail may be important for interactions with cell membranes, as the hydrophobic residues could insert into the lipid bilayer or interact with hydrophobic pockets on membrane-bound receptors. The Leu-Val dipeptide has been proposed as the membrane-interaction domain of BPC-157, potentially anchoring the peptide at the cell surface while the charged and polar residues in the rest of the sequence engage with extracellular receptor domains.</w:t>
      </w:r>
    </w:p>
    <w:p>
      <w:pPr>
        <w:pStyle w:val="Heading2"/>
      </w:pPr>
      <w:r>
        <w:rPr>
          <w:rFonts w:ascii="Calibri" w:hAnsi="Calibri"/>
          <w:color w:val="0B2A4A"/>
        </w:rPr>
        <w:t>Amino Acid Summary Table</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864"/>
            <w:shd w:fill="0B2A4A"/>
          </w:tcPr>
          <w:p>
            <w:r/>
            <w:r>
              <w:rPr>
                <w:rFonts w:ascii="Calibri" w:hAnsi="Calibri"/>
                <w:b/>
                <w:color w:val="FFFFFF"/>
                <w:sz w:val="20"/>
              </w:rPr>
              <w:t>Position</w:t>
            </w:r>
          </w:p>
        </w:tc>
        <w:tc>
          <w:tcPr>
            <w:tcW w:type="dxa" w:w="1584"/>
            <w:shd w:fill="0B2A4A"/>
          </w:tcPr>
          <w:p>
            <w:r/>
            <w:r>
              <w:rPr>
                <w:rFonts w:ascii="Calibri" w:hAnsi="Calibri"/>
                <w:b/>
                <w:color w:val="FFFFFF"/>
                <w:sz w:val="20"/>
              </w:rPr>
              <w:t>Amino Acid</w:t>
            </w:r>
          </w:p>
        </w:tc>
        <w:tc>
          <w:tcPr>
            <w:tcW w:type="dxa" w:w="1152"/>
            <w:shd w:fill="0B2A4A"/>
          </w:tcPr>
          <w:p>
            <w:r/>
            <w:r>
              <w:rPr>
                <w:rFonts w:ascii="Calibri" w:hAnsi="Calibri"/>
                <w:b/>
                <w:color w:val="FFFFFF"/>
                <w:sz w:val="20"/>
              </w:rPr>
              <w:t>3-Letter</w:t>
            </w:r>
          </w:p>
        </w:tc>
        <w:tc>
          <w:tcPr>
            <w:tcW w:type="dxa" w:w="2592"/>
            <w:shd w:fill="0B2A4A"/>
          </w:tcPr>
          <w:p>
            <w:r/>
            <w:r>
              <w:rPr>
                <w:rFonts w:ascii="Calibri" w:hAnsi="Calibri"/>
                <w:b/>
                <w:color w:val="FFFFFF"/>
                <w:sz w:val="20"/>
              </w:rPr>
              <w:t>Properties</w:t>
            </w:r>
          </w:p>
        </w:tc>
        <w:tc>
          <w:tcPr>
            <w:tcW w:type="dxa" w:w="3168"/>
            <w:shd w:fill="0B2A4A"/>
          </w:tcPr>
          <w:p>
            <w:r/>
            <w:r>
              <w:rPr>
                <w:rFonts w:ascii="Calibri" w:hAnsi="Calibri"/>
                <w:b/>
                <w:color w:val="FFFFFF"/>
                <w:sz w:val="20"/>
              </w:rPr>
              <w:t>Role in BPC-157</w:t>
            </w:r>
          </w:p>
        </w:tc>
      </w:tr>
      <w:tr>
        <w:tc>
          <w:tcPr>
            <w:tcW w:type="dxa" w:w="864"/>
            <w:shd w:fill="D9E2F3"/>
          </w:tcPr>
          <w:p>
            <w:r/>
            <w:r>
              <w:rPr>
                <w:rFonts w:ascii="Calibri" w:hAnsi="Calibri"/>
                <w:sz w:val="20"/>
              </w:rPr>
              <w:t>1</w:t>
            </w:r>
          </w:p>
        </w:tc>
        <w:tc>
          <w:tcPr>
            <w:tcW w:type="dxa" w:w="1584"/>
            <w:shd w:fill="D9E2F3"/>
          </w:tcPr>
          <w:p>
            <w:r/>
            <w:r>
              <w:rPr>
                <w:rFonts w:ascii="Calibri" w:hAnsi="Calibri"/>
                <w:sz w:val="20"/>
              </w:rPr>
              <w:t>Glycine</w:t>
            </w:r>
          </w:p>
        </w:tc>
        <w:tc>
          <w:tcPr>
            <w:tcW w:type="dxa" w:w="1152"/>
            <w:shd w:fill="D9E2F3"/>
          </w:tcPr>
          <w:p>
            <w:r/>
            <w:r>
              <w:rPr>
                <w:rFonts w:ascii="Calibri" w:hAnsi="Calibri"/>
                <w:sz w:val="20"/>
              </w:rPr>
              <w:t>Gly (G)</w:t>
            </w:r>
          </w:p>
        </w:tc>
        <w:tc>
          <w:tcPr>
            <w:tcW w:type="dxa" w:w="2592"/>
            <w:shd w:fill="D9E2F3"/>
          </w:tcPr>
          <w:p>
            <w:r/>
            <w:r>
              <w:rPr>
                <w:rFonts w:ascii="Calibri" w:hAnsi="Calibri"/>
                <w:sz w:val="20"/>
              </w:rPr>
              <w:t>Small, flexible, neutral</w:t>
            </w:r>
          </w:p>
        </w:tc>
        <w:tc>
          <w:tcPr>
            <w:tcW w:type="dxa" w:w="3168"/>
            <w:shd w:fill="D9E2F3"/>
          </w:tcPr>
          <w:p>
            <w:r/>
            <w:r>
              <w:rPr>
                <w:rFonts w:ascii="Calibri" w:hAnsi="Calibri"/>
                <w:sz w:val="20"/>
              </w:rPr>
              <w:t>Flexible N-terminus, susceptible to aminopeptidases</w:t>
            </w:r>
          </w:p>
        </w:tc>
      </w:tr>
      <w:tr>
        <w:tc>
          <w:tcPr>
            <w:tcW w:type="dxa" w:w="864"/>
          </w:tcPr>
          <w:p>
            <w:r/>
            <w:r>
              <w:rPr>
                <w:rFonts w:ascii="Calibri" w:hAnsi="Calibri"/>
                <w:sz w:val="20"/>
              </w:rPr>
              <w:t>2</w:t>
            </w:r>
          </w:p>
        </w:tc>
        <w:tc>
          <w:tcPr>
            <w:tcW w:type="dxa" w:w="1584"/>
          </w:tcPr>
          <w:p>
            <w:r/>
            <w:r>
              <w:rPr>
                <w:rFonts w:ascii="Calibri" w:hAnsi="Calibri"/>
                <w:sz w:val="20"/>
              </w:rPr>
              <w:t>Glutamic acid</w:t>
            </w:r>
          </w:p>
        </w:tc>
        <w:tc>
          <w:tcPr>
            <w:tcW w:type="dxa" w:w="1152"/>
          </w:tcPr>
          <w:p>
            <w:r/>
            <w:r>
              <w:rPr>
                <w:rFonts w:ascii="Calibri" w:hAnsi="Calibri"/>
                <w:sz w:val="20"/>
              </w:rPr>
              <w:t>Glu (E)</w:t>
            </w:r>
          </w:p>
        </w:tc>
        <w:tc>
          <w:tcPr>
            <w:tcW w:type="dxa" w:w="2592"/>
          </w:tcPr>
          <w:p>
            <w:r/>
            <w:r>
              <w:rPr>
                <w:rFonts w:ascii="Calibri" w:hAnsi="Calibri"/>
                <w:sz w:val="20"/>
              </w:rPr>
              <w:t>Negative charge, hydrophilic</w:t>
            </w:r>
          </w:p>
        </w:tc>
        <w:tc>
          <w:tcPr>
            <w:tcW w:type="dxa" w:w="3168"/>
          </w:tcPr>
          <w:p>
            <w:r/>
            <w:r>
              <w:rPr>
                <w:rFonts w:ascii="Calibri" w:hAnsi="Calibri"/>
                <w:sz w:val="20"/>
              </w:rPr>
              <w:t>Solubility, electrostatic interactions</w:t>
            </w:r>
          </w:p>
        </w:tc>
      </w:tr>
      <w:tr>
        <w:tc>
          <w:tcPr>
            <w:tcW w:type="dxa" w:w="864"/>
            <w:shd w:fill="D9E2F3"/>
          </w:tcPr>
          <w:p>
            <w:r/>
            <w:r>
              <w:rPr>
                <w:rFonts w:ascii="Calibri" w:hAnsi="Calibri"/>
                <w:sz w:val="20"/>
              </w:rPr>
              <w:t>3</w:t>
            </w:r>
          </w:p>
        </w:tc>
        <w:tc>
          <w:tcPr>
            <w:tcW w:type="dxa" w:w="1584"/>
            <w:shd w:fill="D9E2F3"/>
          </w:tcPr>
          <w:p>
            <w:r/>
            <w:r>
              <w:rPr>
                <w:rFonts w:ascii="Calibri" w:hAnsi="Calibri"/>
                <w:sz w:val="20"/>
              </w:rPr>
              <w:t>Proline</w:t>
            </w:r>
          </w:p>
        </w:tc>
        <w:tc>
          <w:tcPr>
            <w:tcW w:type="dxa" w:w="1152"/>
            <w:shd w:fill="D9E2F3"/>
          </w:tcPr>
          <w:p>
            <w:r/>
            <w:r>
              <w:rPr>
                <w:rFonts w:ascii="Calibri" w:hAnsi="Calibri"/>
                <w:sz w:val="20"/>
              </w:rPr>
              <w:t>Pro (P)</w:t>
            </w:r>
          </w:p>
        </w:tc>
        <w:tc>
          <w:tcPr>
            <w:tcW w:type="dxa" w:w="2592"/>
            <w:shd w:fill="D9E2F3"/>
          </w:tcPr>
          <w:p>
            <w:r/>
            <w:r>
              <w:rPr>
                <w:rFonts w:ascii="Calibri" w:hAnsi="Calibri"/>
                <w:sz w:val="20"/>
              </w:rPr>
              <w:t>Rigid, cyclic, hydrophobic</w:t>
            </w:r>
          </w:p>
        </w:tc>
        <w:tc>
          <w:tcPr>
            <w:tcW w:type="dxa" w:w="3168"/>
            <w:shd w:fill="D9E2F3"/>
          </w:tcPr>
          <w:p>
            <w:r/>
            <w:r>
              <w:rPr>
                <w:rFonts w:ascii="Calibri" w:hAnsi="Calibri"/>
                <w:sz w:val="20"/>
              </w:rPr>
              <w:t>PPII helix — protease resistance</w:t>
            </w:r>
          </w:p>
        </w:tc>
      </w:tr>
      <w:tr>
        <w:tc>
          <w:tcPr>
            <w:tcW w:type="dxa" w:w="864"/>
          </w:tcPr>
          <w:p>
            <w:r/>
            <w:r>
              <w:rPr>
                <w:rFonts w:ascii="Calibri" w:hAnsi="Calibri"/>
                <w:sz w:val="20"/>
              </w:rPr>
              <w:t>4</w:t>
            </w:r>
          </w:p>
        </w:tc>
        <w:tc>
          <w:tcPr>
            <w:tcW w:type="dxa" w:w="1584"/>
          </w:tcPr>
          <w:p>
            <w:r/>
            <w:r>
              <w:rPr>
                <w:rFonts w:ascii="Calibri" w:hAnsi="Calibri"/>
                <w:sz w:val="20"/>
              </w:rPr>
              <w:t>Proline</w:t>
            </w:r>
          </w:p>
        </w:tc>
        <w:tc>
          <w:tcPr>
            <w:tcW w:type="dxa" w:w="1152"/>
          </w:tcPr>
          <w:p>
            <w:r/>
            <w:r>
              <w:rPr>
                <w:rFonts w:ascii="Calibri" w:hAnsi="Calibri"/>
                <w:sz w:val="20"/>
              </w:rPr>
              <w:t>Pro (P)</w:t>
            </w:r>
          </w:p>
        </w:tc>
        <w:tc>
          <w:tcPr>
            <w:tcW w:type="dxa" w:w="2592"/>
          </w:tcPr>
          <w:p>
            <w:r/>
            <w:r>
              <w:rPr>
                <w:rFonts w:ascii="Calibri" w:hAnsi="Calibri"/>
                <w:sz w:val="20"/>
              </w:rPr>
              <w:t>Rigid, cyclic, hydrophobic</w:t>
            </w:r>
          </w:p>
        </w:tc>
        <w:tc>
          <w:tcPr>
            <w:tcW w:type="dxa" w:w="3168"/>
          </w:tcPr>
          <w:p>
            <w:r/>
            <w:r>
              <w:rPr>
                <w:rFonts w:ascii="Calibri" w:hAnsi="Calibri"/>
                <w:sz w:val="20"/>
              </w:rPr>
              <w:t>PPII helix — protease resistance</w:t>
            </w:r>
          </w:p>
        </w:tc>
      </w:tr>
      <w:tr>
        <w:tc>
          <w:tcPr>
            <w:tcW w:type="dxa" w:w="864"/>
            <w:shd w:fill="D9E2F3"/>
          </w:tcPr>
          <w:p>
            <w:r/>
            <w:r>
              <w:rPr>
                <w:rFonts w:ascii="Calibri" w:hAnsi="Calibri"/>
                <w:sz w:val="20"/>
              </w:rPr>
              <w:t>5</w:t>
            </w:r>
          </w:p>
        </w:tc>
        <w:tc>
          <w:tcPr>
            <w:tcW w:type="dxa" w:w="1584"/>
            <w:shd w:fill="D9E2F3"/>
          </w:tcPr>
          <w:p>
            <w:r/>
            <w:r>
              <w:rPr>
                <w:rFonts w:ascii="Calibri" w:hAnsi="Calibri"/>
                <w:sz w:val="20"/>
              </w:rPr>
              <w:t>Proline</w:t>
            </w:r>
          </w:p>
        </w:tc>
        <w:tc>
          <w:tcPr>
            <w:tcW w:type="dxa" w:w="1152"/>
            <w:shd w:fill="D9E2F3"/>
          </w:tcPr>
          <w:p>
            <w:r/>
            <w:r>
              <w:rPr>
                <w:rFonts w:ascii="Calibri" w:hAnsi="Calibri"/>
                <w:sz w:val="20"/>
              </w:rPr>
              <w:t>Pro (P)</w:t>
            </w:r>
          </w:p>
        </w:tc>
        <w:tc>
          <w:tcPr>
            <w:tcW w:type="dxa" w:w="2592"/>
            <w:shd w:fill="D9E2F3"/>
          </w:tcPr>
          <w:p>
            <w:r/>
            <w:r>
              <w:rPr>
                <w:rFonts w:ascii="Calibri" w:hAnsi="Calibri"/>
                <w:sz w:val="20"/>
              </w:rPr>
              <w:t>Rigid, cyclic, hydrophobic</w:t>
            </w:r>
          </w:p>
        </w:tc>
        <w:tc>
          <w:tcPr>
            <w:tcW w:type="dxa" w:w="3168"/>
            <w:shd w:fill="D9E2F3"/>
          </w:tcPr>
          <w:p>
            <w:r/>
            <w:r>
              <w:rPr>
                <w:rFonts w:ascii="Calibri" w:hAnsi="Calibri"/>
                <w:sz w:val="20"/>
              </w:rPr>
              <w:t>PPII helix — protease resistance</w:t>
            </w:r>
          </w:p>
        </w:tc>
      </w:tr>
      <w:tr>
        <w:tc>
          <w:tcPr>
            <w:tcW w:type="dxa" w:w="864"/>
          </w:tcPr>
          <w:p>
            <w:r/>
            <w:r>
              <w:rPr>
                <w:rFonts w:ascii="Calibri" w:hAnsi="Calibri"/>
                <w:sz w:val="20"/>
              </w:rPr>
              <w:t>6</w:t>
            </w:r>
          </w:p>
        </w:tc>
        <w:tc>
          <w:tcPr>
            <w:tcW w:type="dxa" w:w="1584"/>
          </w:tcPr>
          <w:p>
            <w:r/>
            <w:r>
              <w:rPr>
                <w:rFonts w:ascii="Calibri" w:hAnsi="Calibri"/>
                <w:sz w:val="20"/>
              </w:rPr>
              <w:t>Glycine</w:t>
            </w:r>
          </w:p>
        </w:tc>
        <w:tc>
          <w:tcPr>
            <w:tcW w:type="dxa" w:w="1152"/>
          </w:tcPr>
          <w:p>
            <w:r/>
            <w:r>
              <w:rPr>
                <w:rFonts w:ascii="Calibri" w:hAnsi="Calibri"/>
                <w:sz w:val="20"/>
              </w:rPr>
              <w:t>Gly (G)</w:t>
            </w:r>
          </w:p>
        </w:tc>
        <w:tc>
          <w:tcPr>
            <w:tcW w:type="dxa" w:w="2592"/>
          </w:tcPr>
          <w:p>
            <w:r/>
            <w:r>
              <w:rPr>
                <w:rFonts w:ascii="Calibri" w:hAnsi="Calibri"/>
                <w:sz w:val="20"/>
              </w:rPr>
              <w:t>Small, flexible, neutral</w:t>
            </w:r>
          </w:p>
        </w:tc>
        <w:tc>
          <w:tcPr>
            <w:tcW w:type="dxa" w:w="3168"/>
          </w:tcPr>
          <w:p>
            <w:r/>
            <w:r>
              <w:rPr>
                <w:rFonts w:ascii="Calibri" w:hAnsi="Calibri"/>
                <w:sz w:val="20"/>
              </w:rPr>
              <w:t>Conformational hinge</w:t>
            </w:r>
          </w:p>
        </w:tc>
      </w:tr>
      <w:tr>
        <w:tc>
          <w:tcPr>
            <w:tcW w:type="dxa" w:w="864"/>
            <w:shd w:fill="D9E2F3"/>
          </w:tcPr>
          <w:p>
            <w:r/>
            <w:r>
              <w:rPr>
                <w:rFonts w:ascii="Calibri" w:hAnsi="Calibri"/>
                <w:sz w:val="20"/>
              </w:rPr>
              <w:t>7</w:t>
            </w:r>
          </w:p>
        </w:tc>
        <w:tc>
          <w:tcPr>
            <w:tcW w:type="dxa" w:w="1584"/>
            <w:shd w:fill="D9E2F3"/>
          </w:tcPr>
          <w:p>
            <w:r/>
            <w:r>
              <w:rPr>
                <w:rFonts w:ascii="Calibri" w:hAnsi="Calibri"/>
                <w:sz w:val="20"/>
              </w:rPr>
              <w:t>Lysine</w:t>
            </w:r>
          </w:p>
        </w:tc>
        <w:tc>
          <w:tcPr>
            <w:tcW w:type="dxa" w:w="1152"/>
            <w:shd w:fill="D9E2F3"/>
          </w:tcPr>
          <w:p>
            <w:r/>
            <w:r>
              <w:rPr>
                <w:rFonts w:ascii="Calibri" w:hAnsi="Calibri"/>
                <w:sz w:val="20"/>
              </w:rPr>
              <w:t>Lys (K)</w:t>
            </w:r>
          </w:p>
        </w:tc>
        <w:tc>
          <w:tcPr>
            <w:tcW w:type="dxa" w:w="2592"/>
            <w:shd w:fill="D9E2F3"/>
          </w:tcPr>
          <w:p>
            <w:r/>
            <w:r>
              <w:rPr>
                <w:rFonts w:ascii="Calibri" w:hAnsi="Calibri"/>
                <w:sz w:val="20"/>
              </w:rPr>
              <w:t>Positive charge, hydrophilic</w:t>
            </w:r>
          </w:p>
        </w:tc>
        <w:tc>
          <w:tcPr>
            <w:tcW w:type="dxa" w:w="3168"/>
            <w:shd w:fill="D9E2F3"/>
          </w:tcPr>
          <w:p>
            <w:r/>
            <w:r>
              <w:rPr>
                <w:rFonts w:ascii="Calibri" w:hAnsi="Calibri"/>
                <w:sz w:val="20"/>
              </w:rPr>
              <w:t>Salt bridges, target binding</w:t>
            </w:r>
          </w:p>
        </w:tc>
      </w:tr>
      <w:tr>
        <w:tc>
          <w:tcPr>
            <w:tcW w:type="dxa" w:w="864"/>
          </w:tcPr>
          <w:p>
            <w:r/>
            <w:r>
              <w:rPr>
                <w:rFonts w:ascii="Calibri" w:hAnsi="Calibri"/>
                <w:sz w:val="20"/>
              </w:rPr>
              <w:t>8</w:t>
            </w:r>
          </w:p>
        </w:tc>
        <w:tc>
          <w:tcPr>
            <w:tcW w:type="dxa" w:w="1584"/>
          </w:tcPr>
          <w:p>
            <w:r/>
            <w:r>
              <w:rPr>
                <w:rFonts w:ascii="Calibri" w:hAnsi="Calibri"/>
                <w:sz w:val="20"/>
              </w:rPr>
              <w:t>Proline</w:t>
            </w:r>
          </w:p>
        </w:tc>
        <w:tc>
          <w:tcPr>
            <w:tcW w:type="dxa" w:w="1152"/>
          </w:tcPr>
          <w:p>
            <w:r/>
            <w:r>
              <w:rPr>
                <w:rFonts w:ascii="Calibri" w:hAnsi="Calibri"/>
                <w:sz w:val="20"/>
              </w:rPr>
              <w:t>Pro (P)</w:t>
            </w:r>
          </w:p>
        </w:tc>
        <w:tc>
          <w:tcPr>
            <w:tcW w:type="dxa" w:w="2592"/>
          </w:tcPr>
          <w:p>
            <w:r/>
            <w:r>
              <w:rPr>
                <w:rFonts w:ascii="Calibri" w:hAnsi="Calibri"/>
                <w:sz w:val="20"/>
              </w:rPr>
              <w:t>Rigid, cyclic, hydrophobic</w:t>
            </w:r>
          </w:p>
        </w:tc>
        <w:tc>
          <w:tcPr>
            <w:tcW w:type="dxa" w:w="3168"/>
          </w:tcPr>
          <w:p>
            <w:r/>
            <w:r>
              <w:rPr>
                <w:rFonts w:ascii="Calibri" w:hAnsi="Calibri"/>
                <w:sz w:val="20"/>
              </w:rPr>
              <w:t>Additional rigidity, protease resistance</w:t>
            </w:r>
          </w:p>
        </w:tc>
      </w:tr>
      <w:tr>
        <w:tc>
          <w:tcPr>
            <w:tcW w:type="dxa" w:w="864"/>
            <w:shd w:fill="D9E2F3"/>
          </w:tcPr>
          <w:p>
            <w:r/>
            <w:r>
              <w:rPr>
                <w:rFonts w:ascii="Calibri" w:hAnsi="Calibri"/>
                <w:sz w:val="20"/>
              </w:rPr>
              <w:t>9</w:t>
            </w:r>
          </w:p>
        </w:tc>
        <w:tc>
          <w:tcPr>
            <w:tcW w:type="dxa" w:w="1584"/>
            <w:shd w:fill="D9E2F3"/>
          </w:tcPr>
          <w:p>
            <w:r/>
            <w:r>
              <w:rPr>
                <w:rFonts w:ascii="Calibri" w:hAnsi="Calibri"/>
                <w:sz w:val="20"/>
              </w:rPr>
              <w:t>Alanine</w:t>
            </w:r>
          </w:p>
        </w:tc>
        <w:tc>
          <w:tcPr>
            <w:tcW w:type="dxa" w:w="1152"/>
            <w:shd w:fill="D9E2F3"/>
          </w:tcPr>
          <w:p>
            <w:r/>
            <w:r>
              <w:rPr>
                <w:rFonts w:ascii="Calibri" w:hAnsi="Calibri"/>
                <w:sz w:val="20"/>
              </w:rPr>
              <w:t>Ala (A)</w:t>
            </w:r>
          </w:p>
        </w:tc>
        <w:tc>
          <w:tcPr>
            <w:tcW w:type="dxa" w:w="2592"/>
            <w:shd w:fill="D9E2F3"/>
          </w:tcPr>
          <w:p>
            <w:r/>
            <w:r>
              <w:rPr>
                <w:rFonts w:ascii="Calibri" w:hAnsi="Calibri"/>
                <w:sz w:val="20"/>
              </w:rPr>
              <w:t>Small, hydrophobic</w:t>
            </w:r>
          </w:p>
        </w:tc>
        <w:tc>
          <w:tcPr>
            <w:tcW w:type="dxa" w:w="3168"/>
            <w:shd w:fill="D9E2F3"/>
          </w:tcPr>
          <w:p>
            <w:r/>
            <w:r>
              <w:rPr>
                <w:rFonts w:ascii="Calibri" w:hAnsi="Calibri"/>
                <w:sz w:val="20"/>
              </w:rPr>
              <w:t>Backbone structure</w:t>
            </w:r>
          </w:p>
        </w:tc>
      </w:tr>
      <w:tr>
        <w:tc>
          <w:tcPr>
            <w:tcW w:type="dxa" w:w="864"/>
          </w:tcPr>
          <w:p>
            <w:r/>
            <w:r>
              <w:rPr>
                <w:rFonts w:ascii="Calibri" w:hAnsi="Calibri"/>
                <w:sz w:val="20"/>
              </w:rPr>
              <w:t>10</w:t>
            </w:r>
          </w:p>
        </w:tc>
        <w:tc>
          <w:tcPr>
            <w:tcW w:type="dxa" w:w="1584"/>
          </w:tcPr>
          <w:p>
            <w:r/>
            <w:r>
              <w:rPr>
                <w:rFonts w:ascii="Calibri" w:hAnsi="Calibri"/>
                <w:sz w:val="20"/>
              </w:rPr>
              <w:t>Aspartic acid</w:t>
            </w:r>
          </w:p>
        </w:tc>
        <w:tc>
          <w:tcPr>
            <w:tcW w:type="dxa" w:w="1152"/>
          </w:tcPr>
          <w:p>
            <w:r/>
            <w:r>
              <w:rPr>
                <w:rFonts w:ascii="Calibri" w:hAnsi="Calibri"/>
                <w:sz w:val="20"/>
              </w:rPr>
              <w:t>Asp (D)</w:t>
            </w:r>
          </w:p>
        </w:tc>
        <w:tc>
          <w:tcPr>
            <w:tcW w:type="dxa" w:w="2592"/>
          </w:tcPr>
          <w:p>
            <w:r/>
            <w:r>
              <w:rPr>
                <w:rFonts w:ascii="Calibri" w:hAnsi="Calibri"/>
                <w:sz w:val="20"/>
              </w:rPr>
              <w:t>Negative charge, hydrophilic</w:t>
            </w:r>
          </w:p>
        </w:tc>
        <w:tc>
          <w:tcPr>
            <w:tcW w:type="dxa" w:w="3168"/>
          </w:tcPr>
          <w:p>
            <w:r/>
            <w:r>
              <w:rPr>
                <w:rFonts w:ascii="Calibri" w:hAnsi="Calibri"/>
                <w:sz w:val="20"/>
              </w:rPr>
              <w:t>Charged interaction surface</w:t>
            </w:r>
          </w:p>
        </w:tc>
      </w:tr>
      <w:tr>
        <w:tc>
          <w:tcPr>
            <w:tcW w:type="dxa" w:w="864"/>
            <w:shd w:fill="D9E2F3"/>
          </w:tcPr>
          <w:p>
            <w:r/>
            <w:r>
              <w:rPr>
                <w:rFonts w:ascii="Calibri" w:hAnsi="Calibri"/>
                <w:sz w:val="20"/>
              </w:rPr>
              <w:t>11</w:t>
            </w:r>
          </w:p>
        </w:tc>
        <w:tc>
          <w:tcPr>
            <w:tcW w:type="dxa" w:w="1584"/>
            <w:shd w:fill="D9E2F3"/>
          </w:tcPr>
          <w:p>
            <w:r/>
            <w:r>
              <w:rPr>
                <w:rFonts w:ascii="Calibri" w:hAnsi="Calibri"/>
                <w:sz w:val="20"/>
              </w:rPr>
              <w:t>Aspartic acid</w:t>
            </w:r>
          </w:p>
        </w:tc>
        <w:tc>
          <w:tcPr>
            <w:tcW w:type="dxa" w:w="1152"/>
            <w:shd w:fill="D9E2F3"/>
          </w:tcPr>
          <w:p>
            <w:r/>
            <w:r>
              <w:rPr>
                <w:rFonts w:ascii="Calibri" w:hAnsi="Calibri"/>
                <w:sz w:val="20"/>
              </w:rPr>
              <w:t>Asp (D)</w:t>
            </w:r>
          </w:p>
        </w:tc>
        <w:tc>
          <w:tcPr>
            <w:tcW w:type="dxa" w:w="2592"/>
            <w:shd w:fill="D9E2F3"/>
          </w:tcPr>
          <w:p>
            <w:r/>
            <w:r>
              <w:rPr>
                <w:rFonts w:ascii="Calibri" w:hAnsi="Calibri"/>
                <w:sz w:val="20"/>
              </w:rPr>
              <w:t>Negative charge, hydrophilic</w:t>
            </w:r>
          </w:p>
        </w:tc>
        <w:tc>
          <w:tcPr>
            <w:tcW w:type="dxa" w:w="3168"/>
            <w:shd w:fill="D9E2F3"/>
          </w:tcPr>
          <w:p>
            <w:r/>
            <w:r>
              <w:rPr>
                <w:rFonts w:ascii="Calibri" w:hAnsi="Calibri"/>
                <w:sz w:val="20"/>
              </w:rPr>
              <w:t>Charged interaction surface</w:t>
            </w:r>
          </w:p>
        </w:tc>
      </w:tr>
      <w:tr>
        <w:tc>
          <w:tcPr>
            <w:tcW w:type="dxa" w:w="864"/>
          </w:tcPr>
          <w:p>
            <w:r/>
            <w:r>
              <w:rPr>
                <w:rFonts w:ascii="Calibri" w:hAnsi="Calibri"/>
                <w:sz w:val="20"/>
              </w:rPr>
              <w:t>12</w:t>
            </w:r>
          </w:p>
        </w:tc>
        <w:tc>
          <w:tcPr>
            <w:tcW w:type="dxa" w:w="1584"/>
          </w:tcPr>
          <w:p>
            <w:r/>
            <w:r>
              <w:rPr>
                <w:rFonts w:ascii="Calibri" w:hAnsi="Calibri"/>
                <w:sz w:val="20"/>
              </w:rPr>
              <w:t>Alanine</w:t>
            </w:r>
          </w:p>
        </w:tc>
        <w:tc>
          <w:tcPr>
            <w:tcW w:type="dxa" w:w="1152"/>
          </w:tcPr>
          <w:p>
            <w:r/>
            <w:r>
              <w:rPr>
                <w:rFonts w:ascii="Calibri" w:hAnsi="Calibri"/>
                <w:sz w:val="20"/>
              </w:rPr>
              <w:t>Ala (A)</w:t>
            </w:r>
          </w:p>
        </w:tc>
        <w:tc>
          <w:tcPr>
            <w:tcW w:type="dxa" w:w="2592"/>
          </w:tcPr>
          <w:p>
            <w:r/>
            <w:r>
              <w:rPr>
                <w:rFonts w:ascii="Calibri" w:hAnsi="Calibri"/>
                <w:sz w:val="20"/>
              </w:rPr>
              <w:t>Small, hydrophobic</w:t>
            </w:r>
          </w:p>
        </w:tc>
        <w:tc>
          <w:tcPr>
            <w:tcW w:type="dxa" w:w="3168"/>
          </w:tcPr>
          <w:p>
            <w:r/>
            <w:r>
              <w:rPr>
                <w:rFonts w:ascii="Calibri" w:hAnsi="Calibri"/>
                <w:sz w:val="20"/>
              </w:rPr>
              <w:t>Backbone structure</w:t>
            </w:r>
          </w:p>
        </w:tc>
      </w:tr>
      <w:tr>
        <w:tc>
          <w:tcPr>
            <w:tcW w:type="dxa" w:w="864"/>
            <w:shd w:fill="D9E2F3"/>
          </w:tcPr>
          <w:p>
            <w:r/>
            <w:r>
              <w:rPr>
                <w:rFonts w:ascii="Calibri" w:hAnsi="Calibri"/>
                <w:sz w:val="20"/>
              </w:rPr>
              <w:t>13</w:t>
            </w:r>
          </w:p>
        </w:tc>
        <w:tc>
          <w:tcPr>
            <w:tcW w:type="dxa" w:w="1584"/>
            <w:shd w:fill="D9E2F3"/>
          </w:tcPr>
          <w:p>
            <w:r/>
            <w:r>
              <w:rPr>
                <w:rFonts w:ascii="Calibri" w:hAnsi="Calibri"/>
                <w:sz w:val="20"/>
              </w:rPr>
              <w:t>Glycine</w:t>
            </w:r>
          </w:p>
        </w:tc>
        <w:tc>
          <w:tcPr>
            <w:tcW w:type="dxa" w:w="1152"/>
            <w:shd w:fill="D9E2F3"/>
          </w:tcPr>
          <w:p>
            <w:r/>
            <w:r>
              <w:rPr>
                <w:rFonts w:ascii="Calibri" w:hAnsi="Calibri"/>
                <w:sz w:val="20"/>
              </w:rPr>
              <w:t>Gly (G)</w:t>
            </w:r>
          </w:p>
        </w:tc>
        <w:tc>
          <w:tcPr>
            <w:tcW w:type="dxa" w:w="2592"/>
            <w:shd w:fill="D9E2F3"/>
          </w:tcPr>
          <w:p>
            <w:r/>
            <w:r>
              <w:rPr>
                <w:rFonts w:ascii="Calibri" w:hAnsi="Calibri"/>
                <w:sz w:val="20"/>
              </w:rPr>
              <w:t>Small, flexible, neutral</w:t>
            </w:r>
          </w:p>
        </w:tc>
        <w:tc>
          <w:tcPr>
            <w:tcW w:type="dxa" w:w="3168"/>
            <w:shd w:fill="D9E2F3"/>
          </w:tcPr>
          <w:p>
            <w:r/>
            <w:r>
              <w:rPr>
                <w:rFonts w:ascii="Calibri" w:hAnsi="Calibri"/>
                <w:sz w:val="20"/>
              </w:rPr>
              <w:t>Flexible hinge near C-terminus</w:t>
            </w:r>
          </w:p>
        </w:tc>
      </w:tr>
      <w:tr>
        <w:tc>
          <w:tcPr>
            <w:tcW w:type="dxa" w:w="864"/>
          </w:tcPr>
          <w:p>
            <w:r/>
            <w:r>
              <w:rPr>
                <w:rFonts w:ascii="Calibri" w:hAnsi="Calibri"/>
                <w:sz w:val="20"/>
              </w:rPr>
              <w:t>14</w:t>
            </w:r>
          </w:p>
        </w:tc>
        <w:tc>
          <w:tcPr>
            <w:tcW w:type="dxa" w:w="1584"/>
          </w:tcPr>
          <w:p>
            <w:r/>
            <w:r>
              <w:rPr>
                <w:rFonts w:ascii="Calibri" w:hAnsi="Calibri"/>
                <w:sz w:val="20"/>
              </w:rPr>
              <w:t>Leucine</w:t>
            </w:r>
          </w:p>
        </w:tc>
        <w:tc>
          <w:tcPr>
            <w:tcW w:type="dxa" w:w="1152"/>
          </w:tcPr>
          <w:p>
            <w:r/>
            <w:r>
              <w:rPr>
                <w:rFonts w:ascii="Calibri" w:hAnsi="Calibri"/>
                <w:sz w:val="20"/>
              </w:rPr>
              <w:t>Leu (L)</w:t>
            </w:r>
          </w:p>
        </w:tc>
        <w:tc>
          <w:tcPr>
            <w:tcW w:type="dxa" w:w="2592"/>
          </w:tcPr>
          <w:p>
            <w:r/>
            <w:r>
              <w:rPr>
                <w:rFonts w:ascii="Calibri" w:hAnsi="Calibri"/>
                <w:sz w:val="20"/>
              </w:rPr>
              <w:t>Hydrophobic, branched</w:t>
            </w:r>
          </w:p>
        </w:tc>
        <w:tc>
          <w:tcPr>
            <w:tcW w:type="dxa" w:w="3168"/>
          </w:tcPr>
          <w:p>
            <w:r/>
            <w:r>
              <w:rPr>
                <w:rFonts w:ascii="Calibri" w:hAnsi="Calibri"/>
                <w:sz w:val="20"/>
              </w:rPr>
              <w:t>Membrane interaction</w:t>
            </w:r>
          </w:p>
        </w:tc>
      </w:tr>
      <w:tr>
        <w:tc>
          <w:tcPr>
            <w:tcW w:type="dxa" w:w="864"/>
            <w:shd w:fill="D9E2F3"/>
          </w:tcPr>
          <w:p>
            <w:r/>
            <w:r>
              <w:rPr>
                <w:rFonts w:ascii="Calibri" w:hAnsi="Calibri"/>
                <w:sz w:val="20"/>
              </w:rPr>
              <w:t>15</w:t>
            </w:r>
          </w:p>
        </w:tc>
        <w:tc>
          <w:tcPr>
            <w:tcW w:type="dxa" w:w="1584"/>
            <w:shd w:fill="D9E2F3"/>
          </w:tcPr>
          <w:p>
            <w:r/>
            <w:r>
              <w:rPr>
                <w:rFonts w:ascii="Calibri" w:hAnsi="Calibri"/>
                <w:sz w:val="20"/>
              </w:rPr>
              <w:t>Valine</w:t>
            </w:r>
          </w:p>
        </w:tc>
        <w:tc>
          <w:tcPr>
            <w:tcW w:type="dxa" w:w="1152"/>
            <w:shd w:fill="D9E2F3"/>
          </w:tcPr>
          <w:p>
            <w:r/>
            <w:r>
              <w:rPr>
                <w:rFonts w:ascii="Calibri" w:hAnsi="Calibri"/>
                <w:sz w:val="20"/>
              </w:rPr>
              <w:t>Val (V)</w:t>
            </w:r>
          </w:p>
        </w:tc>
        <w:tc>
          <w:tcPr>
            <w:tcW w:type="dxa" w:w="2592"/>
            <w:shd w:fill="D9E2F3"/>
          </w:tcPr>
          <w:p>
            <w:r/>
            <w:r>
              <w:rPr>
                <w:rFonts w:ascii="Calibri" w:hAnsi="Calibri"/>
                <w:sz w:val="20"/>
              </w:rPr>
              <w:t>Hydrophobic, branched</w:t>
            </w:r>
          </w:p>
        </w:tc>
        <w:tc>
          <w:tcPr>
            <w:tcW w:type="dxa" w:w="3168"/>
            <w:shd w:fill="D9E2F3"/>
          </w:tcPr>
          <w:p>
            <w:r/>
            <w:r>
              <w:rPr>
                <w:rFonts w:ascii="Calibri" w:hAnsi="Calibri"/>
                <w:sz w:val="20"/>
              </w:rPr>
              <w:t>Membrane anchoring</w:t>
            </w:r>
          </w:p>
        </w:tc>
      </w:tr>
    </w:tbl>
    <w:p/>
    <w:p>
      <w:pPr>
        <w:pStyle w:val="Heading2"/>
      </w:pPr>
      <w:r>
        <w:rPr>
          <w:rFonts w:ascii="Calibri" w:hAnsi="Calibri"/>
          <w:color w:val="0B2A4A"/>
        </w:rPr>
        <w:t>Are All 15 Residues Required?</w:t>
      </w:r>
    </w:p>
    <w:p>
      <w:r>
        <w:rPr>
          <w:rFonts w:ascii="Calibri" w:hAnsi="Calibri"/>
          <w:b w:val="0"/>
          <w:i w:val="0"/>
          <w:sz w:val="22"/>
        </w:rPr>
        <w:t>One of the most important unanswered questions in BPC-157 research is whether all fifteen amino acids are necessary for biological activity, or whether a shorter fragment could retain the therapeutic effects. This question has significant implications for analog development, as shorter peptides are generally easier and cheaper to synthesize, more amenable to chemical modification, and may have different pharmacokinetic profiles. Unfortunately, no systematic structure-activity relationship (SAR) study has been published for BPC-157. The Zagreb group has not published data on truncated variants, alanine-scanning mutants, or other modified sequences that would reveal which residues are essential and which are dispensable. This represents a significant gap in the literature and an important opportunity for future research. Based on the analysis above, one might predict that the triple proline motif (positions 3-5) is essential for stability, the lysine at position 7 is essential for target binding, and the Asp-Asp motif (positions 10-11) may be essential for biological activity — but these are informed hypotheses, not established facts.</w:t>
      </w:r>
    </w:p>
    <w:p>
      <w:pPr>
        <w:pStyle w:val="Heading2"/>
      </w:pPr>
      <w:r>
        <w:rPr>
          <w:rFonts w:ascii="Calibri" w:hAnsi="Calibri"/>
          <w:color w:val="0B2A4A"/>
        </w:rPr>
        <w:t>Comparison with Other Therapeutic Peptides</w:t>
      </w:r>
    </w:p>
    <w:p>
      <w:r>
        <w:rPr>
          <w:rFonts w:ascii="Calibri" w:hAnsi="Calibri"/>
          <w:b w:val="0"/>
          <w:i w:val="0"/>
          <w:sz w:val="22"/>
        </w:rPr>
        <w:t>To place BPC-157 in context, it is useful to compare it with two other peptides that are frequently discussed in the regenerative medicine and biohacking communities: TB-500 (Thymosin Beta-4) and GHK-Cu (Copper peptide). These three peptides differ dramatically in size, structure, mechanism, and clinical development status.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016"/>
            <w:shd w:fill="0B2A4A"/>
          </w:tcPr>
          <w:p>
            <w:r/>
            <w:r>
              <w:rPr>
                <w:rFonts w:ascii="Calibri" w:hAnsi="Calibri"/>
                <w:b/>
                <w:color w:val="FFFFFF"/>
                <w:sz w:val="20"/>
              </w:rPr>
              <w:t>Property</w:t>
            </w:r>
          </w:p>
        </w:tc>
        <w:tc>
          <w:tcPr>
            <w:tcW w:type="dxa" w:w="2448"/>
            <w:shd w:fill="0B2A4A"/>
          </w:tcPr>
          <w:p>
            <w:r/>
            <w:r>
              <w:rPr>
                <w:rFonts w:ascii="Calibri" w:hAnsi="Calibri"/>
                <w:b/>
                <w:color w:val="FFFFFF"/>
                <w:sz w:val="20"/>
              </w:rPr>
              <w:t>BPC-157</w:t>
            </w:r>
          </w:p>
        </w:tc>
        <w:tc>
          <w:tcPr>
            <w:tcW w:type="dxa" w:w="2592"/>
            <w:shd w:fill="0B2A4A"/>
          </w:tcPr>
          <w:p>
            <w:r/>
            <w:r>
              <w:rPr>
                <w:rFonts w:ascii="Calibri" w:hAnsi="Calibri"/>
                <w:b/>
                <w:color w:val="FFFFFF"/>
                <w:sz w:val="20"/>
              </w:rPr>
              <w:t>TB-500 (Thymosin β4)</w:t>
            </w:r>
          </w:p>
        </w:tc>
        <w:tc>
          <w:tcPr>
            <w:tcW w:type="dxa" w:w="2448"/>
            <w:shd w:fill="0B2A4A"/>
          </w:tcPr>
          <w:p>
            <w:r/>
            <w:r>
              <w:rPr>
                <w:rFonts w:ascii="Calibri" w:hAnsi="Calibri"/>
                <w:b/>
                <w:color w:val="FFFFFF"/>
                <w:sz w:val="20"/>
              </w:rPr>
              <w:t>GHK-Cu</w:t>
            </w:r>
          </w:p>
        </w:tc>
      </w:tr>
      <w:tr>
        <w:tc>
          <w:tcPr>
            <w:tcW w:type="dxa" w:w="2016"/>
            <w:shd w:fill="D9E2F3"/>
          </w:tcPr>
          <w:p>
            <w:r/>
            <w:r>
              <w:rPr>
                <w:rFonts w:ascii="Calibri" w:hAnsi="Calibri"/>
                <w:sz w:val="20"/>
              </w:rPr>
              <w:t>Amino acids</w:t>
            </w:r>
          </w:p>
        </w:tc>
        <w:tc>
          <w:tcPr>
            <w:tcW w:type="dxa" w:w="2448"/>
            <w:shd w:fill="D9E2F3"/>
          </w:tcPr>
          <w:p>
            <w:r/>
            <w:r>
              <w:rPr>
                <w:rFonts w:ascii="Calibri" w:hAnsi="Calibri"/>
                <w:sz w:val="20"/>
              </w:rPr>
              <w:t>15</w:t>
            </w:r>
          </w:p>
        </w:tc>
        <w:tc>
          <w:tcPr>
            <w:tcW w:type="dxa" w:w="2592"/>
            <w:shd w:fill="D9E2F3"/>
          </w:tcPr>
          <w:p>
            <w:r/>
            <w:r>
              <w:rPr>
                <w:rFonts w:ascii="Calibri" w:hAnsi="Calibri"/>
                <w:sz w:val="20"/>
              </w:rPr>
              <w:t>43</w:t>
            </w:r>
          </w:p>
        </w:tc>
        <w:tc>
          <w:tcPr>
            <w:tcW w:type="dxa" w:w="2448"/>
            <w:shd w:fill="D9E2F3"/>
          </w:tcPr>
          <w:p>
            <w:r/>
            <w:r>
              <w:rPr>
                <w:rFonts w:ascii="Calibri" w:hAnsi="Calibri"/>
                <w:sz w:val="20"/>
              </w:rPr>
              <w:t>3</w:t>
            </w:r>
          </w:p>
        </w:tc>
      </w:tr>
      <w:tr>
        <w:tc>
          <w:tcPr>
            <w:tcW w:type="dxa" w:w="2016"/>
          </w:tcPr>
          <w:p>
            <w:r/>
            <w:r>
              <w:rPr>
                <w:rFonts w:ascii="Calibri" w:hAnsi="Calibri"/>
                <w:sz w:val="20"/>
              </w:rPr>
              <w:t>Molecular weight</w:t>
            </w:r>
          </w:p>
        </w:tc>
        <w:tc>
          <w:tcPr>
            <w:tcW w:type="dxa" w:w="2448"/>
          </w:tcPr>
          <w:p>
            <w:r/>
            <w:r>
              <w:rPr>
                <w:rFonts w:ascii="Calibri" w:hAnsi="Calibri"/>
                <w:sz w:val="20"/>
              </w:rPr>
              <w:t>1,419 Da</w:t>
            </w:r>
          </w:p>
        </w:tc>
        <w:tc>
          <w:tcPr>
            <w:tcW w:type="dxa" w:w="2592"/>
          </w:tcPr>
          <w:p>
            <w:r/>
            <w:r>
              <w:rPr>
                <w:rFonts w:ascii="Calibri" w:hAnsi="Calibri"/>
                <w:sz w:val="20"/>
              </w:rPr>
              <w:t>4,921 Da</w:t>
            </w:r>
          </w:p>
        </w:tc>
        <w:tc>
          <w:tcPr>
            <w:tcW w:type="dxa" w:w="2448"/>
          </w:tcPr>
          <w:p>
            <w:r/>
            <w:r>
              <w:rPr>
                <w:rFonts w:ascii="Calibri" w:hAnsi="Calibri"/>
                <w:sz w:val="20"/>
              </w:rPr>
              <w:t>403 Da (without Cu)</w:t>
            </w:r>
          </w:p>
        </w:tc>
      </w:tr>
      <w:tr>
        <w:tc>
          <w:tcPr>
            <w:tcW w:type="dxa" w:w="2016"/>
            <w:shd w:fill="D9E2F3"/>
          </w:tcPr>
          <w:p>
            <w:r/>
            <w:r>
              <w:rPr>
                <w:rFonts w:ascii="Calibri" w:hAnsi="Calibri"/>
                <w:sz w:val="20"/>
              </w:rPr>
              <w:t>Source</w:t>
            </w:r>
          </w:p>
        </w:tc>
        <w:tc>
          <w:tcPr>
            <w:tcW w:type="dxa" w:w="2448"/>
            <w:shd w:fill="D9E2F3"/>
          </w:tcPr>
          <w:p>
            <w:r/>
            <w:r>
              <w:rPr>
                <w:rFonts w:ascii="Calibri" w:hAnsi="Calibri"/>
                <w:sz w:val="20"/>
              </w:rPr>
              <w:t>Human gastric juice</w:t>
            </w:r>
          </w:p>
        </w:tc>
        <w:tc>
          <w:tcPr>
            <w:tcW w:type="dxa" w:w="2592"/>
            <w:shd w:fill="D9E2F3"/>
          </w:tcPr>
          <w:p>
            <w:r/>
            <w:r>
              <w:rPr>
                <w:rFonts w:ascii="Calibri" w:hAnsi="Calibri"/>
                <w:sz w:val="20"/>
              </w:rPr>
              <w:t>Thymus gland</w:t>
            </w:r>
          </w:p>
        </w:tc>
        <w:tc>
          <w:tcPr>
            <w:tcW w:type="dxa" w:w="2448"/>
            <w:shd w:fill="D9E2F3"/>
          </w:tcPr>
          <w:p>
            <w:r/>
            <w:r>
              <w:rPr>
                <w:rFonts w:ascii="Calibri" w:hAnsi="Calibri"/>
                <w:sz w:val="20"/>
              </w:rPr>
              <w:t>Human plasma</w:t>
            </w:r>
          </w:p>
        </w:tc>
      </w:tr>
      <w:tr>
        <w:tc>
          <w:tcPr>
            <w:tcW w:type="dxa" w:w="2016"/>
          </w:tcPr>
          <w:p>
            <w:r/>
            <w:r>
              <w:rPr>
                <w:rFonts w:ascii="Calibri" w:hAnsi="Calibri"/>
                <w:sz w:val="20"/>
              </w:rPr>
              <w:t>Stability in acid</w:t>
            </w:r>
          </w:p>
        </w:tc>
        <w:tc>
          <w:tcPr>
            <w:tcW w:type="dxa" w:w="2448"/>
          </w:tcPr>
          <w:p>
            <w:r/>
            <w:r>
              <w:rPr>
                <w:rFonts w:ascii="Calibri" w:hAnsi="Calibri"/>
                <w:sz w:val="20"/>
              </w:rPr>
              <w:t>Excellent (&gt;24 hrs)</w:t>
            </w:r>
          </w:p>
        </w:tc>
        <w:tc>
          <w:tcPr>
            <w:tcW w:type="dxa" w:w="2592"/>
          </w:tcPr>
          <w:p>
            <w:r/>
            <w:r>
              <w:rPr>
                <w:rFonts w:ascii="Calibri" w:hAnsi="Calibri"/>
                <w:sz w:val="20"/>
              </w:rPr>
              <w:t>Poor</w:t>
            </w:r>
          </w:p>
        </w:tc>
        <w:tc>
          <w:tcPr>
            <w:tcW w:type="dxa" w:w="2448"/>
          </w:tcPr>
          <w:p>
            <w:r/>
            <w:r>
              <w:rPr>
                <w:rFonts w:ascii="Calibri" w:hAnsi="Calibri"/>
                <w:sz w:val="20"/>
              </w:rPr>
              <w:t>Moderate</w:t>
            </w:r>
          </w:p>
        </w:tc>
      </w:tr>
      <w:tr>
        <w:tc>
          <w:tcPr>
            <w:tcW w:type="dxa" w:w="2016"/>
            <w:shd w:fill="D9E2F3"/>
          </w:tcPr>
          <w:p>
            <w:r/>
            <w:r>
              <w:rPr>
                <w:rFonts w:ascii="Calibri" w:hAnsi="Calibri"/>
                <w:sz w:val="20"/>
              </w:rPr>
              <w:t>Primary mechanism</w:t>
            </w:r>
          </w:p>
        </w:tc>
        <w:tc>
          <w:tcPr>
            <w:tcW w:type="dxa" w:w="2448"/>
            <w:shd w:fill="D9E2F3"/>
          </w:tcPr>
          <w:p>
            <w:r/>
            <w:r>
              <w:rPr>
                <w:rFonts w:ascii="Calibri" w:hAnsi="Calibri"/>
                <w:sz w:val="20"/>
              </w:rPr>
              <w:t>VEGFR2-Akt-eNOS, NO</w:t>
            </w:r>
          </w:p>
        </w:tc>
        <w:tc>
          <w:tcPr>
            <w:tcW w:type="dxa" w:w="2592"/>
            <w:shd w:fill="D9E2F3"/>
          </w:tcPr>
          <w:p>
            <w:r/>
            <w:r>
              <w:rPr>
                <w:rFonts w:ascii="Calibri" w:hAnsi="Calibri"/>
                <w:sz w:val="20"/>
              </w:rPr>
              <w:t>Actin sequestering</w:t>
            </w:r>
          </w:p>
        </w:tc>
        <w:tc>
          <w:tcPr>
            <w:tcW w:type="dxa" w:w="2448"/>
            <w:shd w:fill="D9E2F3"/>
          </w:tcPr>
          <w:p>
            <w:r/>
            <w:r>
              <w:rPr>
                <w:rFonts w:ascii="Calibri" w:hAnsi="Calibri"/>
                <w:sz w:val="20"/>
              </w:rPr>
              <w:t>Copper delivery, MMP modulation</w:t>
            </w:r>
          </w:p>
        </w:tc>
      </w:tr>
      <w:tr>
        <w:tc>
          <w:tcPr>
            <w:tcW w:type="dxa" w:w="2016"/>
          </w:tcPr>
          <w:p>
            <w:r/>
            <w:r>
              <w:rPr>
                <w:rFonts w:ascii="Calibri" w:hAnsi="Calibri"/>
                <w:sz w:val="20"/>
              </w:rPr>
              <w:t>Main target tissues</w:t>
            </w:r>
          </w:p>
        </w:tc>
        <w:tc>
          <w:tcPr>
            <w:tcW w:type="dxa" w:w="2448"/>
          </w:tcPr>
          <w:p>
            <w:r/>
            <w:r>
              <w:rPr>
                <w:rFonts w:ascii="Calibri" w:hAnsi="Calibri"/>
                <w:sz w:val="20"/>
              </w:rPr>
              <w:t>GI, tendon, nerve, liver</w:t>
            </w:r>
          </w:p>
        </w:tc>
        <w:tc>
          <w:tcPr>
            <w:tcW w:type="dxa" w:w="2592"/>
          </w:tcPr>
          <w:p>
            <w:r/>
            <w:r>
              <w:rPr>
                <w:rFonts w:ascii="Calibri" w:hAnsi="Calibri"/>
                <w:sz w:val="20"/>
              </w:rPr>
              <w:t>Cardiac, muscle, skin</w:t>
            </w:r>
          </w:p>
        </w:tc>
        <w:tc>
          <w:tcPr>
            <w:tcW w:type="dxa" w:w="2448"/>
          </w:tcPr>
          <w:p>
            <w:r/>
            <w:r>
              <w:rPr>
                <w:rFonts w:ascii="Calibri" w:hAnsi="Calibri"/>
                <w:sz w:val="20"/>
              </w:rPr>
              <w:t>Skin, hair, wound</w:t>
            </w:r>
          </w:p>
        </w:tc>
      </w:tr>
      <w:tr>
        <w:tc>
          <w:tcPr>
            <w:tcW w:type="dxa" w:w="2016"/>
            <w:shd w:fill="D9E2F3"/>
          </w:tcPr>
          <w:p>
            <w:r/>
            <w:r>
              <w:rPr>
                <w:rFonts w:ascii="Calibri" w:hAnsi="Calibri"/>
                <w:sz w:val="20"/>
              </w:rPr>
              <w:t>Human trial data</w:t>
            </w:r>
          </w:p>
        </w:tc>
        <w:tc>
          <w:tcPr>
            <w:tcW w:type="dxa" w:w="2448"/>
            <w:shd w:fill="D9E2F3"/>
          </w:tcPr>
          <w:p>
            <w:r/>
            <w:r>
              <w:rPr>
                <w:rFonts w:ascii="Calibri" w:hAnsi="Calibri"/>
                <w:sz w:val="20"/>
              </w:rPr>
              <w:t>Minimal (3 studies)</w:t>
            </w:r>
          </w:p>
        </w:tc>
        <w:tc>
          <w:tcPr>
            <w:tcW w:type="dxa" w:w="2592"/>
            <w:shd w:fill="D9E2F3"/>
          </w:tcPr>
          <w:p>
            <w:r/>
            <w:r>
              <w:rPr>
                <w:rFonts w:ascii="Calibri" w:hAnsi="Calibri"/>
                <w:sz w:val="20"/>
              </w:rPr>
              <w:t>None published</w:t>
            </w:r>
          </w:p>
        </w:tc>
        <w:tc>
          <w:tcPr>
            <w:tcW w:type="dxa" w:w="2448"/>
            <w:shd w:fill="D9E2F3"/>
          </w:tcPr>
          <w:p>
            <w:r/>
            <w:r>
              <w:rPr>
                <w:rFonts w:ascii="Calibri" w:hAnsi="Calibri"/>
                <w:sz w:val="20"/>
              </w:rPr>
              <w:t>Topical cosmetic studies</w:t>
            </w:r>
          </w:p>
        </w:tc>
      </w:tr>
      <w:tr>
        <w:tc>
          <w:tcPr>
            <w:tcW w:type="dxa" w:w="2016"/>
          </w:tcPr>
          <w:p>
            <w:r/>
            <w:r>
              <w:rPr>
                <w:rFonts w:ascii="Calibri" w:hAnsi="Calibri"/>
                <w:sz w:val="20"/>
              </w:rPr>
              <w:t>FDA status</w:t>
            </w:r>
          </w:p>
        </w:tc>
        <w:tc>
          <w:tcPr>
            <w:tcW w:type="dxa" w:w="2448"/>
          </w:tcPr>
          <w:p>
            <w:r/>
            <w:r>
              <w:rPr>
                <w:rFonts w:ascii="Calibri" w:hAnsi="Calibri"/>
                <w:sz w:val="20"/>
              </w:rPr>
              <w:t>Category 2 bulk drug</w:t>
            </w:r>
          </w:p>
        </w:tc>
        <w:tc>
          <w:tcPr>
            <w:tcW w:type="dxa" w:w="2592"/>
          </w:tcPr>
          <w:p>
            <w:r/>
            <w:r>
              <w:rPr>
                <w:rFonts w:ascii="Calibri" w:hAnsi="Calibri"/>
                <w:sz w:val="20"/>
              </w:rPr>
              <w:t>Not regulated</w:t>
            </w:r>
          </w:p>
        </w:tc>
        <w:tc>
          <w:tcPr>
            <w:tcW w:type="dxa" w:w="2448"/>
          </w:tcPr>
          <w:p>
            <w:r/>
            <w:r>
              <w:rPr>
                <w:rFonts w:ascii="Calibri" w:hAnsi="Calibri"/>
                <w:sz w:val="20"/>
              </w:rPr>
              <w:t>Cosmetic ingredient</w:t>
            </w:r>
          </w:p>
        </w:tc>
      </w:tr>
      <w:tr>
        <w:tc>
          <w:tcPr>
            <w:tcW w:type="dxa" w:w="2016"/>
            <w:shd w:fill="D9E2F3"/>
          </w:tcPr>
          <w:p>
            <w:r/>
            <w:r>
              <w:rPr>
                <w:rFonts w:ascii="Calibri" w:hAnsi="Calibri"/>
                <w:sz w:val="20"/>
              </w:rPr>
              <w:t>WADA status</w:t>
            </w:r>
          </w:p>
        </w:tc>
        <w:tc>
          <w:tcPr>
            <w:tcW w:type="dxa" w:w="2448"/>
            <w:shd w:fill="D9E2F3"/>
          </w:tcPr>
          <w:p>
            <w:r/>
            <w:r>
              <w:rPr>
                <w:rFonts w:ascii="Calibri" w:hAnsi="Calibri"/>
                <w:sz w:val="20"/>
              </w:rPr>
              <w:t>Banned (2022)</w:t>
            </w:r>
          </w:p>
        </w:tc>
        <w:tc>
          <w:tcPr>
            <w:tcW w:type="dxa" w:w="2592"/>
            <w:shd w:fill="D9E2F3"/>
          </w:tcPr>
          <w:p>
            <w:r/>
            <w:r>
              <w:rPr>
                <w:rFonts w:ascii="Calibri" w:hAnsi="Calibri"/>
                <w:sz w:val="20"/>
              </w:rPr>
              <w:t>Banned</w:t>
            </w:r>
          </w:p>
        </w:tc>
        <w:tc>
          <w:tcPr>
            <w:tcW w:type="dxa" w:w="2448"/>
            <w:shd w:fill="D9E2F3"/>
          </w:tcPr>
          <w:p>
            <w:r/>
            <w:r>
              <w:rPr>
                <w:rFonts w:ascii="Calibri" w:hAnsi="Calibri"/>
                <w:sz w:val="20"/>
              </w:rPr>
              <w:t>Not banned</w:t>
            </w:r>
          </w:p>
        </w:tc>
      </w:tr>
      <w:tr>
        <w:tc>
          <w:tcPr>
            <w:tcW w:type="dxa" w:w="2016"/>
          </w:tcPr>
          <w:p>
            <w:r/>
            <w:r>
              <w:rPr>
                <w:rFonts w:ascii="Calibri" w:hAnsi="Calibri"/>
                <w:sz w:val="20"/>
              </w:rPr>
              <w:t>Patent landscape</w:t>
            </w:r>
          </w:p>
        </w:tc>
        <w:tc>
          <w:tcPr>
            <w:tcW w:type="dxa" w:w="2448"/>
          </w:tcPr>
          <w:p>
            <w:r/>
            <w:r>
              <w:rPr>
                <w:rFonts w:ascii="Calibri" w:hAnsi="Calibri"/>
                <w:sz w:val="20"/>
              </w:rPr>
              <w:t>Largely unpatentable</w:t>
            </w:r>
          </w:p>
        </w:tc>
        <w:tc>
          <w:tcPr>
            <w:tcW w:type="dxa" w:w="2592"/>
          </w:tcPr>
          <w:p>
            <w:r/>
            <w:r>
              <w:rPr>
                <w:rFonts w:ascii="Calibri" w:hAnsi="Calibri"/>
                <w:sz w:val="20"/>
              </w:rPr>
              <w:t>Some patents</w:t>
            </w:r>
          </w:p>
        </w:tc>
        <w:tc>
          <w:tcPr>
            <w:tcW w:type="dxa" w:w="2448"/>
          </w:tcPr>
          <w:p>
            <w:r/>
            <w:r>
              <w:rPr>
                <w:rFonts w:ascii="Calibri" w:hAnsi="Calibri"/>
                <w:sz w:val="20"/>
              </w:rPr>
              <w:t>Expired patents</w:t>
            </w:r>
          </w:p>
        </w:tc>
      </w:tr>
    </w:tbl>
    <w:p/>
    <w:p>
      <w:r>
        <w:br w:type="page"/>
      </w:r>
    </w:p>
    <w:p>
      <w:pPr>
        <w:pStyle w:val="Heading1"/>
      </w:pPr>
      <w:r>
        <w:rPr>
          <w:rFonts w:ascii="Calibri" w:hAnsi="Calibri"/>
          <w:color w:val="0B2A4A"/>
        </w:rPr>
        <w:t>Chapter 4: Mechanisms of Action</w:t>
      </w:r>
    </w:p>
    <w:p>
      <w:r>
        <w:rPr>
          <w:rFonts w:ascii="Calibri" w:hAnsi="Calibri"/>
          <w:b w:val="0"/>
          <w:i w:val="0"/>
          <w:sz w:val="22"/>
        </w:rPr>
        <w:t>Understanding how BPC-157 works at the molecular level is essential for evaluating its therapeutic potential, designing effective clinical trials, and developing improved analogs. Over the past decade, research — particularly from the Taiwan group led by Dr. Ming-Jer Hsieh — has begun to reveal the specific signaling pathways through which BPC-157 exerts its remarkably diverse biological effects. This chapter examines each major pathway in detail, drawing on the primary literature to present a comprehensive picture of BPC-157's mechanisms of action. It is worth noting at the outset that no single receptor or binding partner for BPC-157 has been definitively identified. The peptide does not have a known specific receptor, and its molecular target or targets remain to be discovered. What has been demonstrated is that BPC-157 activates or modulates several well-characterized signaling cascades, and the downstream effects of this modulation are consistent with the tissue-protective and regenerative effects observed in animal models.</w:t>
      </w:r>
    </w:p>
    <w:p>
      <w:pPr>
        <w:pStyle w:val="Heading2"/>
      </w:pPr>
      <w:r>
        <w:rPr>
          <w:rFonts w:ascii="Calibri" w:hAnsi="Calibri"/>
          <w:color w:val="0B2A4A"/>
        </w:rPr>
        <w:t>4.1 The VEGFR2-Akt-eNOS Pathway (Angiogenesis)</w:t>
      </w:r>
    </w:p>
    <w:p>
      <w:r>
        <w:rPr>
          <w:rFonts w:ascii="Calibri" w:hAnsi="Calibri"/>
          <w:b w:val="0"/>
          <w:i w:val="0"/>
          <w:sz w:val="22"/>
        </w:rPr>
        <w:t>The most well-characterized mechanism of BPC-157 involves the activation of Vascular Endothelial Growth Factor Receptor 2 (VEGFR2) and its downstream signaling cascade. VEGFR2 is a tyrosine kinase receptor expressed primarily on endothelial cells — the cells that line the interior of blood vessels. When activated, VEGFR2 triggers a cascade of intracellular signaling events that promote angiogenesis, the formation of new blood vessels from existing ones. Angiogenesis is a critical component of tissue repair, as newly forming tissue requires a blood supply to deliver oxygen and nutrients and to remove metabolic waste products.</w:t>
      </w:r>
    </w:p>
    <w:p>
      <w:r>
        <w:rPr>
          <w:rFonts w:ascii="Calibri" w:hAnsi="Calibri"/>
          <w:b w:val="0"/>
          <w:i w:val="0"/>
          <w:sz w:val="22"/>
        </w:rPr>
        <w:t>In a landmark 2017 study published in the International Journal of Molecular Sciences, Hsieh and colleagues demonstrated that BPC-157 directly activates VEGFR2 in human umbilical vein endothelial cells (HUVECs). Using Western blot analysis, they showed that BPC-157 treatment increased VEGFR2 phosphorylation at tyrosine 1175 (Y1175), a key activation site. This phosphorylation event triggered the activation of Akt (also known as Protein Kinase B), a central kinase in cell survival and growth signaling. Akt phosphorylation in turn activated endothelial nitric oxide synthase (eNOS) at serine 1177 (S1177), leading to increased production of nitric oxide (NO). Nitric oxide is a gaseous signaling molecule with potent vasodilatory and angiogenic properties. It relaxes smooth muscle cells in blood vessel walls, increases blood flow, and promotes the migration and proliferation of endothelial cells. The VEGFR2-Akt-eNOS pathway thus provides a clear molecular mechanism for BPC-157's well-documented ability to promote blood vessel formation and improve blood flow to injured tissues.</w:t>
      </w:r>
    </w:p>
    <w:p>
      <w:r>
        <w:rPr>
          <w:rFonts w:ascii="Calibri" w:hAnsi="Calibri"/>
          <w:b w:val="0"/>
          <w:i w:val="0"/>
          <w:sz w:val="22"/>
        </w:rPr>
        <w:t>The Hsieh group further demonstrated that the angiogenic effects of BPC-157 could be blocked by specific inhibitors of VEGFR2 (using SU5416), Akt (using LY294002), and eNOS (using L-NAME). When any one of these inhibitors was applied, BPC-157's ability to promote endothelial cell migration and tube formation in in vitro assays was significantly attenuated. This pharmacological dissection of the pathway provided strong evidence that BPC-157's angiogenic effects are mediated specifically through the VEGFR2-Akt-eNOS axis, rather than through a nonspecific or indirect mechanism. The study also showed that BPC-157 increased the expression of VEGFR2 at the mRNA level, suggesting that the peptide not only activates existing VEGFR2 receptors but also upregulates the production of new receptors, potentially creating a positive feedback loop that amplifies the angiogenic response.</w:t>
      </w:r>
    </w:p>
    <w:p>
      <w:pPr>
        <w:pStyle w:val="Heading2"/>
      </w:pPr>
      <w:r>
        <w:rPr>
          <w:rFonts w:ascii="Calibri" w:hAnsi="Calibri"/>
          <w:color w:val="0B2A4A"/>
        </w:rPr>
        <w:t>4.2 The Src-Caveolin-1-eNOS Pathway (Endothelial Function)</w:t>
      </w:r>
    </w:p>
    <w:p>
      <w:r>
        <w:rPr>
          <w:rFonts w:ascii="Calibri" w:hAnsi="Calibri"/>
          <w:b w:val="0"/>
          <w:i w:val="0"/>
          <w:sz w:val="22"/>
        </w:rPr>
        <w:t>Building on their 2017 work, the Hsieh group published a follow-up study in 2020 that identified a parallel signaling pathway through which BPC-157 promotes nitric oxide production in endothelial cells. This pathway involves the non-receptor tyrosine kinase Src, the scaffolding protein Caveolin-1 (Cav-1), and eNOS. Under normal conditions, eNOS is held in an inactive state by its physical association with Caveolin-1 in specialized membrane microdomains called caveolae. Caveolin-1 directly binds to eNOS and inhibits its enzymatic activity, serving as a tonic brake on nitric oxide production. For eNOS to become fully active, it must be released from this inhibitory complex.</w:t>
      </w:r>
    </w:p>
    <w:p>
      <w:r>
        <w:rPr>
          <w:rFonts w:ascii="Calibri" w:hAnsi="Calibri"/>
          <w:b w:val="0"/>
          <w:i w:val="0"/>
          <w:sz w:val="22"/>
        </w:rPr>
        <w:t>Hsieh et al. showed that BPC-157 treatment of HUVECs led to rapid phosphorylation of Src kinase at tyrosine 416 (Y416), its activation site. Activated Src then phosphorylated Caveolin-1, which reduced the binding affinity between Caveolin-1 and eNOS. With the inhibitory constraint removed, eNOS became free to produce nitric oxide at increased rates. This Src-Cav-1-eNOS pathway operates in parallel with the VEGFR2-Akt-eNOS pathway described above, and together they provide a dual mechanism for BPC-157's nitric oxide-promoting effects. The redundancy of these two pathways may explain why BPC-157's effects on nitric oxide production and angiogenesis are so robust — even if one pathway is partially inhibited, the other can maintain NO signaling. This dual-pathway activation is unusual for a short peptide and suggests that BPC-157 may interact with multiple molecular targets simultaneously, or may act at a point upstream of both pathways.</w:t>
      </w:r>
    </w:p>
    <w:p>
      <w:pPr>
        <w:pStyle w:val="Heading2"/>
      </w:pPr>
      <w:r>
        <w:rPr>
          <w:rFonts w:ascii="Calibri" w:hAnsi="Calibri"/>
          <w:color w:val="0B2A4A"/>
        </w:rPr>
        <w:t>4.3 The ERK1/2 Pathway (Cell Growth and Differentiation)</w:t>
      </w:r>
    </w:p>
    <w:p>
      <w:r>
        <w:rPr>
          <w:rFonts w:ascii="Calibri" w:hAnsi="Calibri"/>
          <w:b w:val="0"/>
          <w:i w:val="0"/>
          <w:sz w:val="22"/>
        </w:rPr>
        <w:t>The Extracellular Signal-Regulated Kinases 1 and 2 (ERK1/2) are members of the Mitogen-Activated Protein Kinase (MAPK) family, a group of kinases that relay signals from cell surface receptors to the nucleus, where they influence gene expression. ERK1/2 activation promotes cell proliferation, differentiation, and survival — processes essential for tissue repair. Multiple studies from the Zagreb and Taiwan groups have demonstrated that BPC-157 induces dose-dependent phosphorylation of ERK1/2 in various cell types, including endothelial cells, fibroblasts, and tendon cells.</w:t>
      </w:r>
    </w:p>
    <w:p>
      <w:r>
        <w:rPr>
          <w:rFonts w:ascii="Calibri" w:hAnsi="Calibri"/>
          <w:b w:val="0"/>
          <w:i w:val="0"/>
          <w:sz w:val="22"/>
        </w:rPr>
        <w:t>The downstream consequences of ERK1/2 activation by BPC-157 include the induction of several immediate-early genes. These are genes that are rapidly activated in response to growth stimuli and encode transcription factors that control the expression of many downstream target genes. BPC-157 has been shown to upregulate three key immediate-early genes: c-Fos, c-Jun, and Early Growth Response-1 (EGR-1). c-Fos and c-Jun form the AP-1 transcription factor complex, which regulates genes involved in cell proliferation, differentiation, and apoptosis. EGR-1 is particularly interesting in the context of BPC-157 because it regulates the expression of growth factors, cytokines, and matrix proteins involved in wound healing. EGR-1 also induces the expression of NGFI-A Binding Protein 2 (NAB2), a transcriptional repressor that feeds back to inhibit EGR-1 activity. This EGR-1/NAB2 negative feedback loop is significant because it provides a built-in mechanism to prevent the runaway cell proliferation that could theoretically lead to tumor formation. The existence of this feedback loop is one of the arguments made by BPC-157 proponents against the theoretical cancer risk associated with the peptide's growth-promoting activities.</w:t>
      </w:r>
    </w:p>
    <w:p>
      <w:pPr>
        <w:pStyle w:val="Heading2"/>
      </w:pPr>
      <w:r>
        <w:rPr>
          <w:rFonts w:ascii="Calibri" w:hAnsi="Calibri"/>
          <w:color w:val="0B2A4A"/>
        </w:rPr>
        <w:t>4.4 The FAK-Paxillin Pathway (Cell Adhesion and Migration)</w:t>
      </w:r>
    </w:p>
    <w:p>
      <w:r>
        <w:rPr>
          <w:rFonts w:ascii="Calibri" w:hAnsi="Calibri"/>
          <w:b w:val="0"/>
          <w:i w:val="0"/>
          <w:sz w:val="22"/>
        </w:rPr>
        <w:t>Focal Adhesion Kinase (FAK) is a non-receptor tyrosine kinase that plays a central role in cell adhesion, migration, and mechanosensing. FAK localizes to focal adhesions — the protein complexes that link the intracellular cytoskeleton to the extracellular matrix through transmembrane integrin receptors. When cells need to migrate, as during wound healing, FAK is activated by autophosphorylation at tyrosine 397 (Y397), which creates a binding site for Src kinase and initiates a signaling cascade that remodels focal adhesions and the actin cytoskeleton to enable cell movement. Paxillin, a key scaffolding protein at focal adhesions, is a downstream target of FAK that coordinates the assembly and disassembly of focal adhesion complexes.</w:t>
      </w:r>
    </w:p>
    <w:p>
      <w:r>
        <w:rPr>
          <w:rFonts w:ascii="Calibri" w:hAnsi="Calibri"/>
          <w:b w:val="0"/>
          <w:i w:val="0"/>
          <w:sz w:val="22"/>
        </w:rPr>
        <w:t>BPC-157 has been shown to activate the FAK-paxillin pathway in several cell types, promoting cell migration in scratch-wound assays and enhancing the formation of focal adhesion complexes. This pathway is particularly relevant to BPC-157's effects on tendon and wound healing, where the migration of fibroblasts and other repair cells into the damaged area is a critical early step in the healing process. The FAK-paxillin pathway also intersects with the ERK1/2 pathway (FAK activates ERK through Ras-Raf signaling) and the Akt pathway (FAK activates PI3K-Akt), creating a network of interconnected signaling events that collectively promote cell survival, growth, and migration. However, it is important to note that FAK overactivation is a feature of many cancers, as it promotes invasion and metastasis. This is one of the molecular pathways cited by critics who raise concerns about the theoretical cancer risk of BPC-157.</w:t>
      </w:r>
    </w:p>
    <w:p>
      <w:pPr>
        <w:pStyle w:val="Heading2"/>
      </w:pPr>
      <w:r>
        <w:rPr>
          <w:rFonts w:ascii="Calibri" w:hAnsi="Calibri"/>
          <w:color w:val="0B2A4A"/>
        </w:rPr>
        <w:t>4.5 Nitric Oxide System Modulation</w:t>
      </w:r>
    </w:p>
    <w:p>
      <w:r>
        <w:rPr>
          <w:rFonts w:ascii="Calibri" w:hAnsi="Calibri"/>
          <w:b w:val="0"/>
          <w:i w:val="0"/>
          <w:sz w:val="22"/>
        </w:rPr>
        <w:t>Perhaps the most intriguing aspect of BPC-157's pharmacology is its bidirectional modulation of the nitric oxide (NO) system. Nitric oxide is one of the most important signaling molecules in mammalian biology. It is produced by three isoforms of nitric oxide synthase: endothelial NOS (eNOS/NOS3), neuronal NOS (nNOS/NOS1), and inducible NOS (iNOS/NOS2). eNOS and nNOS are constitutively expressed and produce low levels of NO for physiological signaling — vasodilation, neurotransmission, and platelet aggregation inhibition. iNOS is induced by inflammatory stimuli and produces high levels of NO as part of the immune response, which can be cytotoxic to pathogens but also damaging to host tissues.</w:t>
      </w:r>
    </w:p>
    <w:p>
      <w:r>
        <w:rPr>
          <w:rFonts w:ascii="Calibri" w:hAnsi="Calibri"/>
          <w:b w:val="0"/>
          <w:i w:val="0"/>
          <w:sz w:val="22"/>
        </w:rPr>
        <w:t>BPC-157's interaction with the NO system is bidirectional in a remarkable way: it increases NO production when NO levels are pathologically low and decreases NO production when NO levels are pathologically high. This has been demonstrated most clearly in blood pressure models. When rats are treated with L-NAME (N-Nitro-L-Arginine Methyl Ester), an inhibitor of all NOS isoforms that causes severe hypertension by blocking NO production, BPC-157 counteracts the hypertension and restores NO levels. Conversely, when rats are treated with L-arginine (the substrate for NOS) in excess, which causes hypotension through NO overproduction, BPC-157 counteracts the hypotension and normalizes NO levels. This bidirectional effect is not simply a matter of BPC-157 activating or inhibiting NOS — it appears to restore NO homeostasis regardless of the direction of the disturbance.</w:t>
      </w:r>
    </w:p>
    <w:p>
      <w:r>
        <w:rPr>
          <w:rFonts w:ascii="Calibri" w:hAnsi="Calibri"/>
          <w:b w:val="0"/>
          <w:i w:val="0"/>
          <w:sz w:val="22"/>
        </w:rPr>
        <w:t>The mechanism underlying this bidirectional effect is not fully understood, but the gene expression data provide clues. BPC-157 upregulates eNOS (Nos3) and nNOS (Nos1), the constitutive isoforms that produce physiological levels of NO, while downregulating iNOS (Nos2), the inducible isoform that produces pathologically high levels during inflammation. By shifting the balance from iNOS-driven inflammatory NO production toward eNOS/nNOS-driven physiological NO production, BPC-157 may restore normal NO signaling without either overshooting or undershooting. This selectivity for constitutive over inducible NOS is a pharmacologically desirable property, as it suggests that BPC-157 could enhance the beneficial vascular and neuronal effects of NO while reducing the tissue-damaging effects of inflammatory NO overproduction. Importantly, across all studied models, BPC-157 consistently reduces free radical production and oxidative stress, regardless of the direction of its effects on NO levels. This antioxidant effect may be secondary to the normalization of NO signaling, as pathological NO levels (both too high and too low) are associated with increased reactive oxygen species production.</w:t>
      </w:r>
    </w:p>
    <w:p>
      <w:pPr>
        <w:pStyle w:val="Heading2"/>
      </w:pPr>
      <w:r>
        <w:rPr>
          <w:rFonts w:ascii="Calibri" w:hAnsi="Calibri"/>
          <w:color w:val="0B2A4A"/>
        </w:rPr>
        <w:t>4.6 Anti-Inflammatory Pathways</w:t>
      </w:r>
    </w:p>
    <w:p>
      <w:r>
        <w:rPr>
          <w:rFonts w:ascii="Calibri" w:hAnsi="Calibri"/>
          <w:b w:val="0"/>
          <w:i w:val="0"/>
          <w:sz w:val="22"/>
        </w:rPr>
        <w:t>BPC-157 demonstrates potent anti-inflammatory effects across numerous models of acute and chronic inflammation. At the cytokine level, BPC-157 has been shown to reduce the production of pro-inflammatory cytokines including Tumor Necrosis Factor-alpha (TNF-α), Interleukin-6 (IL-6), and Interferon-gamma (IFN-γ). These cytokines are key mediators of the inflammatory response: TNF-α initiates the inflammatory cascade and can cause tissue destruction when produced in excess; IL-6 drives the acute phase response and is a major mediator of chronic inflammation; and IFN-γ activates macrophages and promotes the Th1 immune response. By reducing the production of all three, BPC-157 broadly dampens the inflammatory response without completely suppressing immune function.</w:t>
      </w:r>
    </w:p>
    <w:p>
      <w:r>
        <w:rPr>
          <w:rFonts w:ascii="Calibri" w:hAnsi="Calibri"/>
          <w:b w:val="0"/>
          <w:i w:val="0"/>
          <w:sz w:val="22"/>
        </w:rPr>
        <w:t>At the cellular level, BPC-157 has been shown to influence macrophage polarization, shifting macrophages from the M1 (pro-inflammatory) phenotype toward the M2 (anti-inflammatory and pro-repair) phenotype. M1 macrophages produce high levels of TNF-α, IL-1β, and reactive oxygen species and are dominant during the early, destructive phase of inflammation. M2 macrophages, in contrast, produce anti-inflammatory cytokines like IL-10 and TGF-β and actively promote tissue repair by stimulating fibroblast proliferation, angiogenesis, and extracellular matrix remodeling. The M1-to-M2 shift promoted by BPC-157 effectively accelerates the transition from the inflammatory phase to the repair phase of healing, which may explain why BPC-157-treated injuries heal faster in animal models.</w:t>
      </w:r>
    </w:p>
    <w:p>
      <w:r>
        <w:rPr>
          <w:rFonts w:ascii="Calibri" w:hAnsi="Calibri"/>
          <w:b w:val="0"/>
          <w:i w:val="0"/>
          <w:sz w:val="22"/>
        </w:rPr>
        <w:t>At the transcriptional level, BPC-157 downregulates Nuclear Factor kappa-B (NF-κB), the master transcription factor that controls the expression of most pro-inflammatory genes. NF-κB is normally held inactive in the cytoplasm by its inhibitor, IκBα. Inflammatory stimuli (such as TNF-α or bacterial lipopolysaccharide) trigger the phosphorylation and degradation of IκBα, releasing NF-κB to translocate to the nucleus and activate hundreds of pro-inflammatory genes. BPC-157 appears to stabilize IκBα or reduce its phosphorylation, thereby keeping NF-κB sequestered in the cytoplasm and preventing the transcription of pro-inflammatory genes. This NF-κB-inhibiting effect is likely a major mechanism underlying BPC-157's anti-inflammatory properties and is consistent with the reductions in TNF-α, IL-6, and IFN-γ observed at the protein level.</w:t>
      </w:r>
    </w:p>
    <w:p>
      <w:pPr>
        <w:pStyle w:val="Heading2"/>
      </w:pPr>
      <w:r>
        <w:rPr>
          <w:rFonts w:ascii="Calibri" w:hAnsi="Calibri"/>
          <w:color w:val="0B2A4A"/>
        </w:rPr>
        <w:t>4.7 Gene Expression Effects</w:t>
      </w:r>
    </w:p>
    <w:p>
      <w:r>
        <w:rPr>
          <w:rFonts w:ascii="Calibri" w:hAnsi="Calibri"/>
          <w:b w:val="0"/>
          <w:i w:val="0"/>
          <w:sz w:val="22"/>
        </w:rPr>
        <w:t>BPC-157's effects on gene expression have been characterized in several studies using RT-PCR, microarray, and Western blot techniques. The consistent pattern that emerges is one of selective upregulation and downregulation that collectively promotes tissue repair while limiting inflammation and oxidative stress. Key genes upregulated by BPC-157 include: Vegfr2 (encoding VEGFR2, promoting angiogenesis); Nos3 (encoding eNOS, promoting physiological NO production); Nos1 (encoding nNOS, promoting neuronal signaling); Akt1 (encoding Akt, promoting cell survival); Egr1 (encoding EGR-1, promoting growth factor expression); and Src (encoding Src kinase, promoting endothelial function). Key genes downregulated by BPC-157 include: Nos2 (encoding iNOS, reducing inflammatory NO overproduction); and Nfkb (encoding NF-κB, reducing inflammatory gene transcription).</w:t>
      </w:r>
    </w:p>
    <w:p>
      <w:r>
        <w:rPr>
          <w:rFonts w:ascii="Calibri" w:hAnsi="Calibri"/>
          <w:b w:val="0"/>
          <w:i w:val="0"/>
          <w:sz w:val="22"/>
        </w:rPr>
        <w:t>This pattern of gene regulation has led some researchers to describe BPC-157 as a 'biological switch' — a molecule that flips cells from a damage/inflammation program to a repair/regeneration program. The selectivity of this switch is notable: BPC-157 does not simply activate all growth-related genes or suppress all inflammatory genes. Instead, it selectively targets specific nodes in the signaling network that have the greatest impact on the balance between destruction and repair. The fact that BPC-157 simultaneously upregulates repair pathways (VEGFR2, Akt, eNOS) while downregulating damage pathways (iNOS, NF-κB) suggests a coordinated transcriptional program rather than a nonspecific effect. However, the upstream trigger for this coordinated response — the initial molecular event that translates BPC-157 binding into transcriptional changes — remains unknown and is perhaps the most important unanswered question in BPC-157 pharmacology.</w:t>
      </w:r>
    </w:p>
    <w:p>
      <w:pPr>
        <w:pStyle w:val="Heading2"/>
      </w:pPr>
      <w:r>
        <w:rPr>
          <w:rFonts w:ascii="Calibri" w:hAnsi="Calibri"/>
          <w:color w:val="0B2A4A"/>
        </w:rPr>
        <w:t>4.8 Neurotransmitter Modulation</w:t>
      </w:r>
    </w:p>
    <w:p>
      <w:r>
        <w:rPr>
          <w:rFonts w:ascii="Calibri" w:hAnsi="Calibri"/>
          <w:b w:val="0"/>
          <w:i w:val="0"/>
          <w:sz w:val="22"/>
        </w:rPr>
        <w:t>BPC-157 has been shown to modulate several major neurotransmitter systems in the central and peripheral nervous system. In the dopaminergic system, BPC-157 counteracts the effects of both dopamine agonists (like amphetamine) and dopamine antagonists (like haloperidol), suggesting a bidirectional normalizing effect similar to its effects on the NO system. BPC-157 has been shown to increase dopamine turnover and protect against dopamine neuron damage in MPTP-induced models of Parkinson's disease. In the serotonergic system, BPC-157 modulates serotonin levels and has demonstrated antidepressant-like effects in forced swim and chronic unpredictable stress models. The peptide counteracts serotonin syndrome induced by excessive serotonergic stimulation, again showing a normalizing rather than unidirectional effect.</w:t>
      </w:r>
    </w:p>
    <w:p>
      <w:r>
        <w:rPr>
          <w:rFonts w:ascii="Calibri" w:hAnsi="Calibri"/>
          <w:b w:val="0"/>
          <w:i w:val="0"/>
          <w:sz w:val="22"/>
        </w:rPr>
        <w:t>In the GABAergic system, BPC-157 has demonstrated anticonvulsant properties, reducing seizure severity in models of epilepsy induced by pentylenetetrazol and pilocarpine. It appears to enhance GABAergic inhibitory neurotransmission, which may underlie both its anticonvulsant and anxiolytic effects. In the glutamatergic system, BPC-157 has been shown to protect against excitotoxicity — the neuronal damage caused by excessive glutamate stimulation, which is a major mechanism of brain damage in stroke, traumatic brain injury, and neurodegenerative diseases. BPC-157 modulates NMDA and AMPA receptor function and has been reported to reduce glutamate-induced neuronal death in culture. Finally, BPC-157 has been shown to interact with the cholinergic system, enhancing acetylcholine-mediated signaling, which may contribute to its effects on gastrointestinal motility and cognitive function. The breadth of BPC-157's neurotransmitter effects is consistent with the hypothesis that the peptide acts as a systemic homeostatic regulator rather than a specific agonist or antagonist at any single receptor.</w:t>
      </w:r>
    </w:p>
    <w:p>
      <w:r>
        <w:br w:type="page"/>
      </w:r>
    </w:p>
    <w:p>
      <w:pPr>
        <w:pStyle w:val="Heading1"/>
      </w:pPr>
      <w:r>
        <w:rPr>
          <w:rFonts w:ascii="Calibri" w:hAnsi="Calibri"/>
          <w:color w:val="0B2A4A"/>
        </w:rPr>
        <w:t>Chapter 5: What BPC-157 Heals</w:t>
      </w:r>
    </w:p>
    <w:p>
      <w:r>
        <w:rPr>
          <w:rFonts w:ascii="Calibri" w:hAnsi="Calibri"/>
          <w:b w:val="0"/>
          <w:i w:val="0"/>
          <w:sz w:val="22"/>
        </w:rPr>
        <w:t>The preclinical literature on BPC-157 describes beneficial effects across an extraordinary range of tissues and organ systems. This chapter reviews the published evidence for each major application, focusing on the most significant studies and their key findings. It is important to emphasize that virtually all of this evidence comes from animal models (predominantly rats) and in vitro cell culture experiments. The translation of these findings to human patients remains largely unproven.</w:t>
      </w:r>
    </w:p>
    <w:p>
      <w:pPr>
        <w:pStyle w:val="Heading2"/>
      </w:pPr>
      <w:r>
        <w:rPr>
          <w:rFonts w:ascii="Calibri" w:hAnsi="Calibri"/>
          <w:color w:val="0B2A4A"/>
        </w:rPr>
        <w:t>5.1 Gastrointestinal Tract</w:t>
      </w:r>
    </w:p>
    <w:p>
      <w:r>
        <w:rPr>
          <w:rFonts w:ascii="Calibri" w:hAnsi="Calibri"/>
          <w:b w:val="0"/>
          <w:i w:val="0"/>
          <w:sz w:val="22"/>
        </w:rPr>
        <w:t>The gastrointestinal tract was the original and remains the most extensively studied target of BPC-157. Given that the peptide derives from gastric juice, it is perhaps unsurprising that its most robust effects are observed in gastrointestinal models. BPC-157 has demonstrated healing-promoting effects in virtually every model of gastrointestinal damage that has been tested.</w:t>
      </w:r>
    </w:p>
    <w:p>
      <w:r>
        <w:rPr>
          <w:rFonts w:ascii="Calibri" w:hAnsi="Calibri"/>
          <w:b w:val="0"/>
          <w:i w:val="0"/>
          <w:sz w:val="22"/>
        </w:rPr>
        <w:t>In gastric ulcer models, BPC-157 accelerates the healing of ulcers induced by cysteamine, restraint stress, acetic acid, ethanol, and non-steroidal anti-inflammatory drugs (NSAIDs). The peptide reduces ulcer size, promotes mucosal regeneration, enhances angiogenesis in the ulcer bed, and restores the integrity of the gastric mucosal barrier. Doses as low as 10 nanograms per kilogram have been effective in some models, though microgram-per-kilogram doses are more commonly used. The effect is seen with both systemic (intraperitoneal) and local (intragastric) administration, consistent with the peptide's gastric stability.</w:t>
      </w:r>
    </w:p>
    <w:p>
      <w:r>
        <w:rPr>
          <w:rFonts w:ascii="Calibri" w:hAnsi="Calibri"/>
          <w:b w:val="0"/>
          <w:i w:val="0"/>
          <w:sz w:val="22"/>
        </w:rPr>
        <w:t>In models of inflammatory bowel disease (IBD), BPC-157 has shown benefit in both TNBS-induced colitis (a model of Crohn's disease) and DSS-induced colitis (a model of ulcerative colitis). The peptide reduces colonic inflammation, preserves mucosal architecture, decreases pro-inflammatory cytokine levels, and promotes mucosal healing. These effects are particularly noteworthy because IBD is a chronic, relapsing condition with significant unmet medical need, and current therapies (aminosalicylates, corticosteroids, biologics) have significant limitations and side effects. The fact that PLIVA reportedly conducted pilot clinical studies in ulcerative colitis patients suggests that the preclinical IBD data were considered sufficiently compelling to justify human testing, though the unpublished status of those trials limits what can be concluded.</w:t>
      </w:r>
    </w:p>
    <w:p>
      <w:r>
        <w:rPr>
          <w:rFonts w:ascii="Calibri" w:hAnsi="Calibri"/>
          <w:b w:val="0"/>
          <w:i w:val="0"/>
          <w:sz w:val="22"/>
        </w:rPr>
        <w:t>BPC-157 has demonstrated remarkable effects on intestinal anastomoses — the surgical connections made when two ends of bowel are joined together after resection. Anastomotic healing is a critical concern in gastrointestinal surgery, as anastomotic leaks are a major cause of postoperative morbidity and mortality. In rat models, BPC-157 treatment increased the bursting pressure of colonic anastomoses (a measure of mechanical strength), enhanced collagen deposition, and promoted organized tissue repair at the anastomotic site. The peptide also showed benefit in models of esophageal anastomosis and gastric anastomosis, suggesting a generalizable effect on surgical wound healing throughout the gastrointestinal tract.</w:t>
      </w:r>
    </w:p>
    <w:p>
      <w:r>
        <w:rPr>
          <w:rFonts w:ascii="Calibri" w:hAnsi="Calibri"/>
          <w:b w:val="0"/>
          <w:i w:val="0"/>
          <w:sz w:val="22"/>
        </w:rPr>
        <w:t>Additional gastrointestinal applications of BPC-157 include the treatment of intestinal fistulas (abnormal connections between the gut and other organs or the skin surface), short bowel syndrome (a malabsorptive condition resulting from extensive intestinal resection), and the so-called 'leaky gut' or increased intestinal permeability. In fistula models, BPC-157 promoted closure of experimentally created fistulas by enhancing granulation tissue formation and re-epithelialization. In short bowel models, BPC-157 enhanced the adaptive response of the remaining intestine, promoting villous hypertrophy and increased absorptive capacity. These studies collectively establish BPC-157 as perhaps the most broadly effective gastroprotective and gut-healing agent identified in preclinical research.</w:t>
      </w:r>
    </w:p>
    <w:p>
      <w:pPr>
        <w:pStyle w:val="Heading2"/>
      </w:pPr>
      <w:r>
        <w:rPr>
          <w:rFonts w:ascii="Calibri" w:hAnsi="Calibri"/>
          <w:color w:val="0B2A4A"/>
        </w:rPr>
        <w:t>5.2 Musculoskeletal System</w:t>
      </w:r>
    </w:p>
    <w:p>
      <w:r>
        <w:rPr>
          <w:rFonts w:ascii="Calibri" w:hAnsi="Calibri"/>
          <w:b w:val="0"/>
          <w:i w:val="0"/>
          <w:sz w:val="22"/>
        </w:rPr>
        <w:t>Tendon healing is one of the most extensively studied and clinically relevant applications of BPC-157. Tendons are notoriously slow to heal due to their poor blood supply, limited cellularity, and the high mechanical demands placed on them during daily activities. BPC-157 has been shown to accelerate tendon healing in multiple models. In the Achilles tendon transection model in rats, BPC-157 treatment (administered either systemically by intraperitoneal injection or locally at the injury site) resulted in faster functional recovery, improved biomechanical properties of the healed tendon (increased load-to-failure and stiffness), better organized collagen fiber alignment, and increased expression of growth factors including VEGF and growth/differentiation factor 5 (GDF-5) at the injury site.</w:t>
      </w:r>
    </w:p>
    <w:p>
      <w:r>
        <w:rPr>
          <w:rFonts w:ascii="Calibri" w:hAnsi="Calibri"/>
          <w:b w:val="0"/>
          <w:i w:val="0"/>
          <w:sz w:val="22"/>
        </w:rPr>
        <w:t>In the medial collateral ligament (MCL) transection model, BPC-157 promoted healing with similar improvements in biomechanical and histological outcomes. Rotator cuff tendon healing has also been studied, with BPC-157 showing improved tendon-to-bone integration in supraspinatus tendon detachment and reattachment models. These musculoskeletal healing effects are believed to be mediated primarily through BPC-157's pro-angiogenic activity (via the VEGFR2-Akt-eNOS pathway), which increases blood supply to the avascular tendon tissue, and its effects on fibroblast proliferation and collagen synthesis (via the ERK1/2 and FAK-paxillin pathways). The growth factor modulation observed in tendon studies — particularly the upregulation of GDF-5, a key regulator of tendon development — suggests that BPC-157 may not simply accelerate existing repair processes but may actually improve the quality of tendon healing by promoting more organized, tendon-like tissue rather than disorganized scar tissue.</w:t>
      </w:r>
    </w:p>
    <w:p>
      <w:r>
        <w:rPr>
          <w:rFonts w:ascii="Calibri" w:hAnsi="Calibri"/>
          <w:b w:val="0"/>
          <w:i w:val="0"/>
          <w:sz w:val="22"/>
        </w:rPr>
        <w:t>In muscle injury models, BPC-157 has shown benefit in muscle transection (complete cutting), crush injury, and denervation-induced atrophy models. In the muscle transection model, BPC-157 promoted the formation of organized muscle fibers across the transection gap, reduced fibrosis, and improved functional recovery as measured by muscle contractile force. In crush injury models, BPC-157 reduced edema, inflammation, and necrosis while promoting satellite cell activation and myofiber regeneration. Satellite cells are muscle stem cells that reside between the sarcolemma and basal lamina of muscle fibers; they are activated in response to injury and proliferate to form new muscle fibers or fuse with damaged fibers to repair them. BPC-157's enhancement of satellite cell activation suggests a direct effect on the regenerative capacity of skeletal muscle.</w:t>
      </w:r>
    </w:p>
    <w:p>
      <w:r>
        <w:rPr>
          <w:rFonts w:ascii="Calibri" w:hAnsi="Calibri"/>
          <w:b w:val="0"/>
          <w:i w:val="0"/>
          <w:sz w:val="22"/>
        </w:rPr>
        <w:t>BPC-157 has also demonstrated effects on bone healing, though this area has received less attention than tendon and muscle repair. In a segmental bone defect model in rabbits, BPC-157 promoted bone formation and improved the mechanical properties of the healing bone. The peptide increased the expression of osteogenic markers including bone morphogenetic protein 2 (BMP-2) and osteocalcin at the defect site. In fracture nonunion models — where a broken bone fails to heal — BPC-157 promoted callus formation and bridging of the fracture gap. While bone healing is generally more reliable than tendon healing, fracture nonunion remains a significant clinical problem affecting approximately 5-10% of all fractures, and a peptide that could promote healing in these difficult cases would have substantial clinical value.</w:t>
      </w:r>
    </w:p>
    <w:p>
      <w:pPr>
        <w:pStyle w:val="Heading2"/>
      </w:pPr>
      <w:r>
        <w:rPr>
          <w:rFonts w:ascii="Calibri" w:hAnsi="Calibri"/>
          <w:color w:val="0B2A4A"/>
        </w:rPr>
        <w:t>5.3 Nervous System</w:t>
      </w:r>
    </w:p>
    <w:p>
      <w:r>
        <w:rPr>
          <w:rFonts w:ascii="Calibri" w:hAnsi="Calibri"/>
          <w:b w:val="0"/>
          <w:i w:val="0"/>
          <w:sz w:val="22"/>
        </w:rPr>
        <w:t>The neuroprotective and neuroregenerative effects of BPC-157 are among the most intriguing and potentially impactful findings in the BPC-157 literature. In models of traumatic brain injury (TBI), BPC-157 administered after controlled cortical impact reduced brain edema, decreased inflammatory cell infiltration, preserved blood-brain barrier integrity, and improved neurological function scores. The peptide reduced the expression of pro-inflammatory mediators in the brain while increasing the expression of neurotrophic factors. These effects were observed when BPC-157 was administered both systemically and intracerebrally, and the effective doses were consistent with those used in other injury models.</w:t>
      </w:r>
    </w:p>
    <w:p>
      <w:r>
        <w:rPr>
          <w:rFonts w:ascii="Calibri" w:hAnsi="Calibri"/>
          <w:b w:val="0"/>
          <w:i w:val="0"/>
          <w:sz w:val="22"/>
        </w:rPr>
        <w:t>In stroke models (middle cerebral artery occlusion, or MCAO), BPC-157 reduced infarct volume, decreased neurological deficit scores, and promoted angiogenesis in the peri-infarct zone. The mechanism appears to involve both the VEGFR2-Akt-eNOS angiogenic pathway (promoting revascularization of ischemic tissue) and anti-inflammatory effects (reducing post-ischemic inflammation). BPC-157 also showed neuroprotective effects in models of spinal cord injury, promoting axonal regeneration and functional recovery of hind limb movement in rats with experimentally induced spinal cord lesions.</w:t>
      </w:r>
    </w:p>
    <w:p>
      <w:r>
        <w:rPr>
          <w:rFonts w:ascii="Calibri" w:hAnsi="Calibri"/>
          <w:b w:val="0"/>
          <w:i w:val="0"/>
          <w:sz w:val="22"/>
        </w:rPr>
        <w:t>Peripheral nerve regeneration is another area where BPC-157 has shown promise. In sciatic nerve transection models, BPC-157 promoted axonal sprouting, Schwann cell proliferation, and functional recovery as measured by walking track analysis and electrophysiological testing. The peptide appeared to create a more permissive environment for nerve regeneration by enhancing local blood supply through angiogenesis and by modulating the inflammatory response to favor the pro-regenerative M2 macrophage phenotype. In peroneal nerve crush injury models, BPC-157 accelerated the recovery of nerve conduction velocity and compound muscle action potential amplitude.</w:t>
      </w:r>
    </w:p>
    <w:p>
      <w:r>
        <w:rPr>
          <w:rFonts w:ascii="Calibri" w:hAnsi="Calibri"/>
          <w:b w:val="0"/>
          <w:i w:val="0"/>
          <w:sz w:val="22"/>
        </w:rPr>
        <w:t>BPC-157 has also been tested in models of neurodegenerative and psychiatric conditions. In the MPTP model of Parkinson's disease (where the toxin MPTP selectively destroys dopamine-producing neurons in the substantia nigra), BPC-157 reduced dopamine neuron loss and improved motor function. In the cuprizone model of multiple sclerosis (where the copper chelator cuprizone induces demyelination), BPC-157 promoted remyelination and restored motor coordination. The peptide has shown antidepressant-like effects in the forced swim test and chronic unpredictable stress models, and has demonstrated antipsychotic-like effects in models of amphetamine- and dizocilpine-induced psychomotor disturbance. Additionally, BPC-157 has anticonvulsant properties, reducing seizure severity and duration in pentylenetetrazol and pilocarpine models of epilepsy. The breadth of these neurological effects is consistent with BPC-157's modulation of multiple neurotransmitter systems and its general neuroprotective properties.</w:t>
      </w:r>
    </w:p>
    <w:p>
      <w:pPr>
        <w:pStyle w:val="Heading2"/>
      </w:pPr>
      <w:r>
        <w:rPr>
          <w:rFonts w:ascii="Calibri" w:hAnsi="Calibri"/>
          <w:color w:val="0B2A4A"/>
        </w:rPr>
        <w:t>5.4 Cardiovascular System</w:t>
      </w:r>
    </w:p>
    <w:p>
      <w:r>
        <w:rPr>
          <w:rFonts w:ascii="Calibri" w:hAnsi="Calibri"/>
          <w:b w:val="0"/>
          <w:i w:val="0"/>
          <w:sz w:val="22"/>
        </w:rPr>
        <w:t>BPC-157's cardiovascular effects are closely linked to its NO-modulating properties. As discussed in the mechanisms chapter, BPC-157 demonstrates bidirectional effects on blood pressure — counteracting both L-NAME-induced hypertension and L-arginine-induced hypotension. Beyond blood pressure regulation, BPC-157 has shown benefit in several other cardiovascular models. In arrhythmia models, BPC-157 reduced the incidence and severity of digitalis-induced arrhythmias and barium chloride-induced arrhythmias. The anti-arrhythmic effects are believed to be related to BPC-157's modulation of calcium handling and NO signaling in cardiac myocytes.</w:t>
      </w:r>
    </w:p>
    <w:p>
      <w:r>
        <w:rPr>
          <w:rFonts w:ascii="Calibri" w:hAnsi="Calibri"/>
          <w:b w:val="0"/>
          <w:i w:val="0"/>
          <w:sz w:val="22"/>
        </w:rPr>
        <w:t>In models of pulmonary hypertension — a serious condition characterized by elevated blood pressure in the pulmonary arteries — BPC-157 reduced pulmonary arterial pressure and decreased right ventricular hypertrophy (the thickening of the heart's right ventricle that occurs as it struggles to pump blood through constricted pulmonary vessels). BPC-157 also demonstrated anti-thrombotic effects, reducing the formation of blood clots in models of venous and arterial thrombosis without significantly prolonging bleeding time, suggesting a more targeted anti-thrombotic mechanism than conventional anticoagulants. Perhaps most remarkably, BPC-157 has been shown to activate collateral blood vessel networks when major blood vessels are occluded. In models where the femoral artery or superior mesenteric artery was ligated (tied off), BPC-157 promoted the rapid opening of pre-existing but dormant collateral vessels, restoring blood flow to ischemic tissues much faster than would occur naturally. This collateral vessel activation effect may be related to BPC-157's NO-producing and angiogenic activities and has significant implications for the treatment of ischemic conditions.</w:t>
      </w:r>
    </w:p>
    <w:p>
      <w:pPr>
        <w:pStyle w:val="Heading2"/>
      </w:pPr>
      <w:r>
        <w:rPr>
          <w:rFonts w:ascii="Calibri" w:hAnsi="Calibri"/>
          <w:color w:val="0B2A4A"/>
        </w:rPr>
        <w:t>5.5 Liver</w:t>
      </w:r>
    </w:p>
    <w:p>
      <w:r>
        <w:rPr>
          <w:rFonts w:ascii="Calibri" w:hAnsi="Calibri"/>
          <w:b w:val="0"/>
          <w:i w:val="0"/>
          <w:sz w:val="22"/>
        </w:rPr>
        <w:t>BPC-157 has demonstrated significant hepatoprotective effects in multiple models of liver damage. In alcohol-induced liver injury models, BPC-157 reduced hepatocyte necrosis, decreased steatosis (fatty accumulation), reduced inflammatory cell infiltration, and improved liver function markers (AST, ALT, bilirubin). The peptide also showed anti-fibrotic effects, reducing the accumulation of collagen in the liver that characterizes chronic liver disease progression. In NSAID-induced hepatotoxicity models (acetaminophen and diclofenac), BPC-157 was protective when administered both before and after the hepatotoxic insult. The protective effect against NSAID damage is particularly relevant given the widespread use of NSAIDs and the significant incidence of NSAID-induced liver injury.</w:t>
      </w:r>
    </w:p>
    <w:p>
      <w:r>
        <w:rPr>
          <w:rFonts w:ascii="Calibri" w:hAnsi="Calibri"/>
          <w:b w:val="0"/>
          <w:i w:val="0"/>
          <w:sz w:val="22"/>
        </w:rPr>
        <w:t>BPC-157 has also shown benefit in models of liver ischemia-reperfusion injury (the damage that occurs when blood flow to the liver is interrupted and then restored, as occurs during liver surgery or transplantation), bile duct ligation (a model of obstructive cholestasis), and partial hepatectomy (surgical removal of part of the liver). In the partial hepatectomy model, BPC-157 promoted liver regeneration, increasing the rate of hepatocyte proliferation and restoring liver mass more rapidly than in control animals. The hepatoprotective effects of BPC-157 appear to involve multiple mechanisms, including antioxidant effects (reducing lipid peroxidation and increasing glutathione levels), anti-inflammatory effects (reducing TNF-α and IL-6), and cytoprotective effects (stabilizing hepatocyte membranes and preserving mitochondrial function).</w:t>
      </w:r>
    </w:p>
    <w:p>
      <w:pPr>
        <w:pStyle w:val="Heading2"/>
      </w:pPr>
      <w:r>
        <w:rPr>
          <w:rFonts w:ascii="Calibri" w:hAnsi="Calibri"/>
          <w:color w:val="0B2A4A"/>
        </w:rPr>
        <w:t>5.6 Other Organ Systems</w:t>
      </w:r>
    </w:p>
    <w:p>
      <w:r>
        <w:rPr>
          <w:rFonts w:ascii="Calibri" w:hAnsi="Calibri"/>
          <w:b w:val="0"/>
          <w:i w:val="0"/>
          <w:sz w:val="22"/>
        </w:rPr>
        <w:t>Beyond the major organ systems discussed above, BPC-157 has shown beneficial effects in several other contexts. In the kidney, BPC-157 has been protective against ischemia-reperfusion injury, cisplatin-induced nephrotoxicity, and cyclosporine-induced renal damage. These nephroprotective effects involve the preservation of renal blood flow (via NO modulation), reduction of tubular necrosis, and maintenance of glomerular filtration rate.</w:t>
      </w:r>
    </w:p>
    <w:p>
      <w:r>
        <w:rPr>
          <w:rFonts w:ascii="Calibri" w:hAnsi="Calibri"/>
          <w:b w:val="0"/>
          <w:i w:val="0"/>
          <w:sz w:val="22"/>
        </w:rPr>
        <w:t>In the lungs, a particularly notable 2025 study demonstrated that BPC-157 administered systemically could protect distant organs from damage following a localized injury — the so-called 'distant organ protection' effect. In this study, rats with severe liver injury treated with BPC-157 showed significantly less pulmonary inflammation and edema than untreated controls, suggesting that BPC-157's systemic anti-inflammatory and cytoprotective effects extend beyond the primary injury site to protect remote organs that are threatened by the systemic inflammatory response.</w:t>
      </w:r>
    </w:p>
    <w:p>
      <w:r>
        <w:rPr>
          <w:rFonts w:ascii="Calibri" w:hAnsi="Calibri"/>
          <w:b w:val="0"/>
          <w:i w:val="0"/>
          <w:sz w:val="22"/>
        </w:rPr>
        <w:t>In the eye, BPC-157 has been shown to promote corneal wound healing following alkali burns and mechanical debridement. Remarkably, BPC-157 promoted corneal epithelial healing and stromal repair without inducing corneal neovascularization — the pathological growth of blood vessels into the normally avascular cornea. This finding is significant for the cancer debate surrounding BPC-157, as it suggests that the peptide's pro-angiogenic effects are contextual rather than universal. In the cornea, where neovascularization would be harmful, BPC-157 promoted healing without triggering unwanted blood vessel growth. This context-dependent angiogenic response is consistent with the hypothesis that BPC-157 normalizes rather than simply stimulates vascular responses.</w:t>
      </w:r>
    </w:p>
    <w:p>
      <w:r>
        <w:rPr>
          <w:rFonts w:ascii="Calibri" w:hAnsi="Calibri"/>
          <w:b w:val="0"/>
          <w:i w:val="0"/>
          <w:sz w:val="22"/>
        </w:rPr>
        <w:t>BPC-157 has also shown effects in skin wound healing (accelerating closure of full-thickness skin wounds in diabetic and non-diabetic rats), periodontal healing (promoting regeneration of periodontal ligament and alveolar bone in models of periodontal disease), and burn healing (reducing eschar depth and promoting re-epithelialization in thermal burn models). Each of these applications is consistent with BPC-157's core mechanisms — angiogenesis, anti-inflammation, and cell migration — applied to the specific cellular context of each tissue.</w:t>
      </w:r>
    </w:p>
    <w:p>
      <w:r>
        <w:br w:type="page"/>
      </w:r>
    </w:p>
    <w:p>
      <w:pPr>
        <w:pStyle w:val="Heading1"/>
      </w:pPr>
      <w:r>
        <w:rPr>
          <w:rFonts w:ascii="Calibri" w:hAnsi="Calibri"/>
          <w:color w:val="0B2A4A"/>
        </w:rPr>
        <w:t>Chapter 6: Pharmacokinetics</w:t>
      </w:r>
    </w:p>
    <w:p>
      <w:r>
        <w:rPr>
          <w:rFonts w:ascii="Calibri" w:hAnsi="Calibri"/>
          <w:b w:val="0"/>
          <w:i w:val="0"/>
          <w:sz w:val="22"/>
        </w:rPr>
        <w:t>Pharmacokinetics (PK) — the study of how a drug is absorbed, distributed, metabolized, and excreted by the body — is fundamental to drug development. Without PK data, it is impossible to determine appropriate doses, dosing intervals, routes of administration, or to predict drug interactions and safety margins. For BPC-157, PK data were conspicuously absent from the literature until 2022, when a Chinese research group published the first formal pharmacokinetic study of the peptide.</w:t>
      </w:r>
    </w:p>
    <w:p>
      <w:pPr>
        <w:pStyle w:val="Heading2"/>
      </w:pPr>
      <w:r>
        <w:rPr>
          <w:rFonts w:ascii="Calibri" w:hAnsi="Calibri"/>
          <w:color w:val="0B2A4A"/>
        </w:rPr>
        <w:t>The First PK Study</w:t>
      </w:r>
    </w:p>
    <w:p>
      <w:r>
        <w:rPr>
          <w:rFonts w:ascii="Calibri" w:hAnsi="Calibri"/>
          <w:b w:val="0"/>
          <w:i w:val="0"/>
          <w:sz w:val="22"/>
        </w:rPr>
        <w:t>The landmark PK study was published in Frontiers in Pharmacology in 2022 by a Chinese group who conducted comprehensive pharmacokinetic characterization of BPC-157 in both rats and beagle dogs. This study used validated LC-MS/MS (liquid chromatography-tandem mass spectrometry) assays to measure BPC-157 concentrations in plasma, urine, bile, and various tissues following intravenous (IV) and intramuscular (IM) administration. The study design included single-dose and repeat-dose arms, and it characterized the dose-linearity, tissue distribution, and metabolic fate of BPC-157 at multiple dose levels.</w:t>
      </w:r>
    </w:p>
    <w:p>
      <w:r>
        <w:rPr>
          <w:rFonts w:ascii="Calibri" w:hAnsi="Calibri"/>
          <w:b w:val="0"/>
          <w:i w:val="0"/>
          <w:sz w:val="22"/>
        </w:rPr>
        <w:t>The results revealed several critical pharmacokinetic parameters. After intravenous administration, BPC-157 was rapidly cleared from the plasma with a terminal elimination half-life of less than 30 minutes in both rats and dogs. The plasma concentration-time curves followed a biexponential pattern consistent with a two-compartment model, with a rapid distribution phase (alpha phase) lasting approximately 2-5 minutes followed by a slower elimination phase (beta phase). After intramuscular administration, peak plasma concentrations were reached within 3 to 9 minutes, indicating rapid absorption from the injection site. The absolute bioavailability of IM administration (the fraction of the injected dose that reaches the systemic circulation) was 14-19% in rats and 45-51% in dogs. The higher bioavailability in dogs likely reflects species differences in muscle blood flow, injection site physiology, and the activity of local peptidases.</w:t>
      </w:r>
    </w:p>
    <w:p>
      <w:pPr>
        <w:pStyle w:val="Heading2"/>
      </w:pPr>
      <w:r>
        <w:rPr>
          <w:rFonts w:ascii="Calibri" w:hAnsi="Calibri"/>
          <w:color w:val="0B2A4A"/>
        </w:rPr>
        <w:t>PK Parameters Summary</w:t>
      </w:r>
    </w:p>
    <w:tbl>
      <w:tblPr>
        <w:tblStyle w:val="TableGrid"/>
        <w:tblW w:type="auto" w:w="0"/>
        <w:jc w:val="center"/>
        <w:tblLook w:firstColumn="1" w:firstRow="1" w:lastColumn="0" w:lastRow="0" w:noHBand="0" w:noVBand="1" w:val="04A0"/>
      </w:tblPr>
      <w:tblGrid>
        <w:gridCol w:w="1872"/>
        <w:gridCol w:w="1872"/>
        <w:gridCol w:w="1872"/>
        <w:gridCol w:w="1872"/>
        <w:gridCol w:w="1872"/>
      </w:tblGrid>
      <w:tr>
        <w:tc>
          <w:tcPr>
            <w:tcW w:type="dxa" w:w="2304"/>
            <w:shd w:fill="0B2A4A"/>
          </w:tcPr>
          <w:p>
            <w:r/>
            <w:r>
              <w:rPr>
                <w:rFonts w:ascii="Calibri" w:hAnsi="Calibri"/>
                <w:b/>
                <w:color w:val="FFFFFF"/>
                <w:sz w:val="20"/>
              </w:rPr>
              <w:t>Parameter</w:t>
            </w:r>
          </w:p>
        </w:tc>
        <w:tc>
          <w:tcPr>
            <w:tcW w:type="dxa" w:w="1728"/>
            <w:shd w:fill="0B2A4A"/>
          </w:tcPr>
          <w:p>
            <w:r/>
            <w:r>
              <w:rPr>
                <w:rFonts w:ascii="Calibri" w:hAnsi="Calibri"/>
                <w:b/>
                <w:color w:val="FFFFFF"/>
                <w:sz w:val="20"/>
              </w:rPr>
              <w:t>Rats (IV)</w:t>
            </w:r>
          </w:p>
        </w:tc>
        <w:tc>
          <w:tcPr>
            <w:tcW w:type="dxa" w:w="1728"/>
            <w:shd w:fill="0B2A4A"/>
          </w:tcPr>
          <w:p>
            <w:r/>
            <w:r>
              <w:rPr>
                <w:rFonts w:ascii="Calibri" w:hAnsi="Calibri"/>
                <w:b/>
                <w:color w:val="FFFFFF"/>
                <w:sz w:val="20"/>
              </w:rPr>
              <w:t>Rats (IM)</w:t>
            </w:r>
          </w:p>
        </w:tc>
        <w:tc>
          <w:tcPr>
            <w:tcW w:type="dxa" w:w="1728"/>
            <w:shd w:fill="0B2A4A"/>
          </w:tcPr>
          <w:p>
            <w:r/>
            <w:r>
              <w:rPr>
                <w:rFonts w:ascii="Calibri" w:hAnsi="Calibri"/>
                <w:b/>
                <w:color w:val="FFFFFF"/>
                <w:sz w:val="20"/>
              </w:rPr>
              <w:t>Dogs (IV)</w:t>
            </w:r>
          </w:p>
        </w:tc>
        <w:tc>
          <w:tcPr>
            <w:tcW w:type="dxa" w:w="1728"/>
            <w:shd w:fill="0B2A4A"/>
          </w:tcPr>
          <w:p>
            <w:r/>
            <w:r>
              <w:rPr>
                <w:rFonts w:ascii="Calibri" w:hAnsi="Calibri"/>
                <w:b/>
                <w:color w:val="FFFFFF"/>
                <w:sz w:val="20"/>
              </w:rPr>
              <w:t>Dogs (IM)</w:t>
            </w:r>
          </w:p>
        </w:tc>
      </w:tr>
      <w:tr>
        <w:tc>
          <w:tcPr>
            <w:tcW w:type="dxa" w:w="2304"/>
            <w:shd w:fill="D9E2F3"/>
          </w:tcPr>
          <w:p>
            <w:r/>
            <w:r>
              <w:rPr>
                <w:rFonts w:ascii="Calibri" w:hAnsi="Calibri"/>
                <w:sz w:val="20"/>
              </w:rPr>
              <w:t>Half-life (t½)</w:t>
            </w:r>
          </w:p>
        </w:tc>
        <w:tc>
          <w:tcPr>
            <w:tcW w:type="dxa" w:w="1728"/>
            <w:shd w:fill="D9E2F3"/>
          </w:tcPr>
          <w:p>
            <w:r/>
            <w:r>
              <w:rPr>
                <w:rFonts w:ascii="Calibri" w:hAnsi="Calibri"/>
                <w:sz w:val="20"/>
              </w:rPr>
              <w:t>&lt;30 min</w:t>
            </w:r>
          </w:p>
        </w:tc>
        <w:tc>
          <w:tcPr>
            <w:tcW w:type="dxa" w:w="1728"/>
            <w:shd w:fill="D9E2F3"/>
          </w:tcPr>
          <w:p>
            <w:r/>
            <w:r>
              <w:rPr>
                <w:rFonts w:ascii="Calibri" w:hAnsi="Calibri"/>
                <w:sz w:val="20"/>
              </w:rPr>
              <w:t>&lt;30 min</w:t>
            </w:r>
          </w:p>
        </w:tc>
        <w:tc>
          <w:tcPr>
            <w:tcW w:type="dxa" w:w="1728"/>
            <w:shd w:fill="D9E2F3"/>
          </w:tcPr>
          <w:p>
            <w:r/>
            <w:r>
              <w:rPr>
                <w:rFonts w:ascii="Calibri" w:hAnsi="Calibri"/>
                <w:sz w:val="20"/>
              </w:rPr>
              <w:t>&lt;30 min</w:t>
            </w:r>
          </w:p>
        </w:tc>
        <w:tc>
          <w:tcPr>
            <w:tcW w:type="dxa" w:w="1728"/>
            <w:shd w:fill="D9E2F3"/>
          </w:tcPr>
          <w:p>
            <w:r/>
            <w:r>
              <w:rPr>
                <w:rFonts w:ascii="Calibri" w:hAnsi="Calibri"/>
                <w:sz w:val="20"/>
              </w:rPr>
              <w:t>&lt;30 min</w:t>
            </w:r>
          </w:p>
        </w:tc>
      </w:tr>
      <w:tr>
        <w:tc>
          <w:tcPr>
            <w:tcW w:type="dxa" w:w="2304"/>
          </w:tcPr>
          <w:p>
            <w:r/>
            <w:r>
              <w:rPr>
                <w:rFonts w:ascii="Calibri" w:hAnsi="Calibri"/>
                <w:sz w:val="20"/>
              </w:rPr>
              <w:t>Tmax (time to peak)</w:t>
            </w:r>
          </w:p>
        </w:tc>
        <w:tc>
          <w:tcPr>
            <w:tcW w:type="dxa" w:w="1728"/>
          </w:tcPr>
          <w:p>
            <w:r/>
            <w:r>
              <w:rPr>
                <w:rFonts w:ascii="Calibri" w:hAnsi="Calibri"/>
                <w:sz w:val="20"/>
              </w:rPr>
              <w:t>Immediate</w:t>
            </w:r>
          </w:p>
        </w:tc>
        <w:tc>
          <w:tcPr>
            <w:tcW w:type="dxa" w:w="1728"/>
          </w:tcPr>
          <w:p>
            <w:r/>
            <w:r>
              <w:rPr>
                <w:rFonts w:ascii="Calibri" w:hAnsi="Calibri"/>
                <w:sz w:val="20"/>
              </w:rPr>
              <w:t>3-5 min</w:t>
            </w:r>
          </w:p>
        </w:tc>
        <w:tc>
          <w:tcPr>
            <w:tcW w:type="dxa" w:w="1728"/>
          </w:tcPr>
          <w:p>
            <w:r/>
            <w:r>
              <w:rPr>
                <w:rFonts w:ascii="Calibri" w:hAnsi="Calibri"/>
                <w:sz w:val="20"/>
              </w:rPr>
              <w:t>Immediate</w:t>
            </w:r>
          </w:p>
        </w:tc>
        <w:tc>
          <w:tcPr>
            <w:tcW w:type="dxa" w:w="1728"/>
          </w:tcPr>
          <w:p>
            <w:r/>
            <w:r>
              <w:rPr>
                <w:rFonts w:ascii="Calibri" w:hAnsi="Calibri"/>
                <w:sz w:val="20"/>
              </w:rPr>
              <w:t>5-9 min</w:t>
            </w:r>
          </w:p>
        </w:tc>
      </w:tr>
      <w:tr>
        <w:tc>
          <w:tcPr>
            <w:tcW w:type="dxa" w:w="2304"/>
            <w:shd w:fill="D9E2F3"/>
          </w:tcPr>
          <w:p>
            <w:r/>
            <w:r>
              <w:rPr>
                <w:rFonts w:ascii="Calibri" w:hAnsi="Calibri"/>
                <w:sz w:val="20"/>
              </w:rPr>
              <w:t>Bioavailability</w:t>
            </w:r>
          </w:p>
        </w:tc>
        <w:tc>
          <w:tcPr>
            <w:tcW w:type="dxa" w:w="1728"/>
            <w:shd w:fill="D9E2F3"/>
          </w:tcPr>
          <w:p>
            <w:r/>
            <w:r>
              <w:rPr>
                <w:rFonts w:ascii="Calibri" w:hAnsi="Calibri"/>
                <w:sz w:val="20"/>
              </w:rPr>
              <w:t>100% (ref)</w:t>
            </w:r>
          </w:p>
        </w:tc>
        <w:tc>
          <w:tcPr>
            <w:tcW w:type="dxa" w:w="1728"/>
            <w:shd w:fill="D9E2F3"/>
          </w:tcPr>
          <w:p>
            <w:r/>
            <w:r>
              <w:rPr>
                <w:rFonts w:ascii="Calibri" w:hAnsi="Calibri"/>
                <w:sz w:val="20"/>
              </w:rPr>
              <w:t>14-19%</w:t>
            </w:r>
          </w:p>
        </w:tc>
        <w:tc>
          <w:tcPr>
            <w:tcW w:type="dxa" w:w="1728"/>
            <w:shd w:fill="D9E2F3"/>
          </w:tcPr>
          <w:p>
            <w:r/>
            <w:r>
              <w:rPr>
                <w:rFonts w:ascii="Calibri" w:hAnsi="Calibri"/>
                <w:sz w:val="20"/>
              </w:rPr>
              <w:t>100% (ref)</w:t>
            </w:r>
          </w:p>
        </w:tc>
        <w:tc>
          <w:tcPr>
            <w:tcW w:type="dxa" w:w="1728"/>
            <w:shd w:fill="D9E2F3"/>
          </w:tcPr>
          <w:p>
            <w:r/>
            <w:r>
              <w:rPr>
                <w:rFonts w:ascii="Calibri" w:hAnsi="Calibri"/>
                <w:sz w:val="20"/>
              </w:rPr>
              <w:t>45-51%</w:t>
            </w:r>
          </w:p>
        </w:tc>
      </w:tr>
      <w:tr>
        <w:tc>
          <w:tcPr>
            <w:tcW w:type="dxa" w:w="2304"/>
          </w:tcPr>
          <w:p>
            <w:r/>
            <w:r>
              <w:rPr>
                <w:rFonts w:ascii="Calibri" w:hAnsi="Calibri"/>
                <w:sz w:val="20"/>
              </w:rPr>
              <w:t>Vd (volume of distribution)</w:t>
            </w:r>
          </w:p>
        </w:tc>
        <w:tc>
          <w:tcPr>
            <w:tcW w:type="dxa" w:w="1728"/>
          </w:tcPr>
          <w:p>
            <w:r/>
            <w:r>
              <w:rPr>
                <w:rFonts w:ascii="Calibri" w:hAnsi="Calibri"/>
                <w:sz w:val="20"/>
              </w:rPr>
              <w:t>Moderate</w:t>
            </w:r>
          </w:p>
        </w:tc>
        <w:tc>
          <w:tcPr>
            <w:tcW w:type="dxa" w:w="1728"/>
          </w:tcPr>
          <w:p>
            <w:r/>
            <w:r>
              <w:rPr>
                <w:rFonts w:ascii="Calibri" w:hAnsi="Calibri"/>
                <w:sz w:val="20"/>
              </w:rPr>
              <w:t>—</w:t>
            </w:r>
          </w:p>
        </w:tc>
        <w:tc>
          <w:tcPr>
            <w:tcW w:type="dxa" w:w="1728"/>
          </w:tcPr>
          <w:p>
            <w:r/>
            <w:r>
              <w:rPr>
                <w:rFonts w:ascii="Calibri" w:hAnsi="Calibri"/>
                <w:sz w:val="20"/>
              </w:rPr>
              <w:t>Moderate</w:t>
            </w:r>
          </w:p>
        </w:tc>
        <w:tc>
          <w:tcPr>
            <w:tcW w:type="dxa" w:w="1728"/>
          </w:tcPr>
          <w:p>
            <w:r/>
            <w:r>
              <w:rPr>
                <w:rFonts w:ascii="Calibri" w:hAnsi="Calibri"/>
                <w:sz w:val="20"/>
              </w:rPr>
              <w:t>—</w:t>
            </w:r>
          </w:p>
        </w:tc>
      </w:tr>
      <w:tr>
        <w:tc>
          <w:tcPr>
            <w:tcW w:type="dxa" w:w="2304"/>
            <w:shd w:fill="D9E2F3"/>
          </w:tcPr>
          <w:p>
            <w:r/>
            <w:r>
              <w:rPr>
                <w:rFonts w:ascii="Calibri" w:hAnsi="Calibri"/>
                <w:sz w:val="20"/>
              </w:rPr>
              <w:t>Clearance</w:t>
            </w:r>
          </w:p>
        </w:tc>
        <w:tc>
          <w:tcPr>
            <w:tcW w:type="dxa" w:w="1728"/>
            <w:shd w:fill="D9E2F3"/>
          </w:tcPr>
          <w:p>
            <w:r/>
            <w:r>
              <w:rPr>
                <w:rFonts w:ascii="Calibri" w:hAnsi="Calibri"/>
                <w:sz w:val="20"/>
              </w:rPr>
              <w:t>Rapid</w:t>
            </w:r>
          </w:p>
        </w:tc>
        <w:tc>
          <w:tcPr>
            <w:tcW w:type="dxa" w:w="1728"/>
            <w:shd w:fill="D9E2F3"/>
          </w:tcPr>
          <w:p>
            <w:r/>
            <w:r>
              <w:rPr>
                <w:rFonts w:ascii="Calibri" w:hAnsi="Calibri"/>
                <w:sz w:val="20"/>
              </w:rPr>
              <w:t>—</w:t>
            </w:r>
          </w:p>
        </w:tc>
        <w:tc>
          <w:tcPr>
            <w:tcW w:type="dxa" w:w="1728"/>
            <w:shd w:fill="D9E2F3"/>
          </w:tcPr>
          <w:p>
            <w:r/>
            <w:r>
              <w:rPr>
                <w:rFonts w:ascii="Calibri" w:hAnsi="Calibri"/>
                <w:sz w:val="20"/>
              </w:rPr>
              <w:t>Rapid</w:t>
            </w:r>
          </w:p>
        </w:tc>
        <w:tc>
          <w:tcPr>
            <w:tcW w:type="dxa" w:w="1728"/>
            <w:shd w:fill="D9E2F3"/>
          </w:tcPr>
          <w:p>
            <w:r/>
            <w:r>
              <w:rPr>
                <w:rFonts w:ascii="Calibri" w:hAnsi="Calibri"/>
                <w:sz w:val="20"/>
              </w:rPr>
              <w:t>—</w:t>
            </w:r>
          </w:p>
        </w:tc>
      </w:tr>
      <w:tr>
        <w:tc>
          <w:tcPr>
            <w:tcW w:type="dxa" w:w="2304"/>
          </w:tcPr>
          <w:p>
            <w:r/>
            <w:r>
              <w:rPr>
                <w:rFonts w:ascii="Calibri" w:hAnsi="Calibri"/>
                <w:sz w:val="20"/>
              </w:rPr>
              <w:t>PK model</w:t>
            </w:r>
          </w:p>
        </w:tc>
        <w:tc>
          <w:tcPr>
            <w:tcW w:type="dxa" w:w="1728"/>
          </w:tcPr>
          <w:p>
            <w:r/>
            <w:r>
              <w:rPr>
                <w:rFonts w:ascii="Calibri" w:hAnsi="Calibri"/>
                <w:sz w:val="20"/>
              </w:rPr>
              <w:t>Two-compartment</w:t>
            </w:r>
          </w:p>
        </w:tc>
        <w:tc>
          <w:tcPr>
            <w:tcW w:type="dxa" w:w="1728"/>
          </w:tcPr>
          <w:p>
            <w:r/>
            <w:r>
              <w:rPr>
                <w:rFonts w:ascii="Calibri" w:hAnsi="Calibri"/>
                <w:sz w:val="20"/>
              </w:rPr>
              <w:t>—</w:t>
            </w:r>
          </w:p>
        </w:tc>
        <w:tc>
          <w:tcPr>
            <w:tcW w:type="dxa" w:w="1728"/>
          </w:tcPr>
          <w:p>
            <w:r/>
            <w:r>
              <w:rPr>
                <w:rFonts w:ascii="Calibri" w:hAnsi="Calibri"/>
                <w:sz w:val="20"/>
              </w:rPr>
              <w:t>Two-compartment</w:t>
            </w:r>
          </w:p>
        </w:tc>
        <w:tc>
          <w:tcPr>
            <w:tcW w:type="dxa" w:w="1728"/>
          </w:tcPr>
          <w:p>
            <w:r/>
            <w:r>
              <w:rPr>
                <w:rFonts w:ascii="Calibri" w:hAnsi="Calibri"/>
                <w:sz w:val="20"/>
              </w:rPr>
              <w:t>—</w:t>
            </w:r>
          </w:p>
        </w:tc>
      </w:tr>
      <w:tr>
        <w:tc>
          <w:tcPr>
            <w:tcW w:type="dxa" w:w="2304"/>
            <w:shd w:fill="D9E2F3"/>
          </w:tcPr>
          <w:p>
            <w:r/>
            <w:r>
              <w:rPr>
                <w:rFonts w:ascii="Calibri" w:hAnsi="Calibri"/>
                <w:sz w:val="20"/>
              </w:rPr>
              <w:t>Dose linearity</w:t>
            </w:r>
          </w:p>
        </w:tc>
        <w:tc>
          <w:tcPr>
            <w:tcW w:type="dxa" w:w="1728"/>
            <w:shd w:fill="D9E2F3"/>
          </w:tcPr>
          <w:p>
            <w:r/>
            <w:r>
              <w:rPr>
                <w:rFonts w:ascii="Calibri" w:hAnsi="Calibri"/>
                <w:sz w:val="20"/>
              </w:rPr>
              <w:t>Linear</w:t>
            </w:r>
          </w:p>
        </w:tc>
        <w:tc>
          <w:tcPr>
            <w:tcW w:type="dxa" w:w="1728"/>
            <w:shd w:fill="D9E2F3"/>
          </w:tcPr>
          <w:p>
            <w:r/>
            <w:r>
              <w:rPr>
                <w:rFonts w:ascii="Calibri" w:hAnsi="Calibri"/>
                <w:sz w:val="20"/>
              </w:rPr>
              <w:t>Linear</w:t>
            </w:r>
          </w:p>
        </w:tc>
        <w:tc>
          <w:tcPr>
            <w:tcW w:type="dxa" w:w="1728"/>
            <w:shd w:fill="D9E2F3"/>
          </w:tcPr>
          <w:p>
            <w:r/>
            <w:r>
              <w:rPr>
                <w:rFonts w:ascii="Calibri" w:hAnsi="Calibri"/>
                <w:sz w:val="20"/>
              </w:rPr>
              <w:t>Linear</w:t>
            </w:r>
          </w:p>
        </w:tc>
        <w:tc>
          <w:tcPr>
            <w:tcW w:type="dxa" w:w="1728"/>
            <w:shd w:fill="D9E2F3"/>
          </w:tcPr>
          <w:p>
            <w:r/>
            <w:r>
              <w:rPr>
                <w:rFonts w:ascii="Calibri" w:hAnsi="Calibri"/>
                <w:sz w:val="20"/>
              </w:rPr>
              <w:t>Linear</w:t>
            </w:r>
          </w:p>
        </w:tc>
      </w:tr>
    </w:tbl>
    <w:p/>
    <w:p>
      <w:pPr>
        <w:pStyle w:val="Heading2"/>
      </w:pPr>
      <w:r>
        <w:rPr>
          <w:rFonts w:ascii="Calibri" w:hAnsi="Calibri"/>
          <w:color w:val="0B2A4A"/>
        </w:rPr>
        <w:t>Metabolism and Excretion</w:t>
      </w:r>
    </w:p>
    <w:p>
      <w:r>
        <w:rPr>
          <w:rFonts w:ascii="Calibri" w:hAnsi="Calibri"/>
          <w:b w:val="0"/>
          <w:i w:val="0"/>
          <w:sz w:val="22"/>
        </w:rPr>
        <w:t>BPC-157 is metabolized primarily in the liver, with the cytochrome P450 (CYP450) enzyme system playing a role in its biotransformation. The metabolic pathway follows the typical fate of small peptides: initial cleavage by endopeptidases into smaller peptide fragments, followed by further degradation by exopeptidases into individual amino acids, which are then either recycled into new proteins or metabolized through standard amino acid catabolic pathways. The metabolites identified in the study included various truncated fragments of the original peptide, consistent with sequential cleavage from both the N-terminus and C-terminus.</w:t>
      </w:r>
    </w:p>
    <w:p>
      <w:r>
        <w:rPr>
          <w:rFonts w:ascii="Calibri" w:hAnsi="Calibri"/>
          <w:b w:val="0"/>
          <w:i w:val="0"/>
          <w:sz w:val="22"/>
        </w:rPr>
        <w:t>Excretion occurs through both the renal (urine) and biliary (bile/feces) routes. Intact BPC-157 and its metabolites were detectable in urine for up to 4 days after a single dose, which has implications for anti-doping testing (as BPC-157 is banned by WADA). The fact that the peptide is detectable in urine for days despite its short plasma half-life suggests either slow release from tissue depots, enterohepatic recirculation (where the peptide is excreted into bile, reabsorbed from the intestine, and re-excreted by the kidneys), or the persistence of recognizable metabolic fragments.</w:t>
      </w:r>
    </w:p>
    <w:p>
      <w:pPr>
        <w:pStyle w:val="Heading2"/>
      </w:pPr>
      <w:r>
        <w:rPr>
          <w:rFonts w:ascii="Calibri" w:hAnsi="Calibri"/>
          <w:color w:val="0B2A4A"/>
        </w:rPr>
        <w:t>Tissue Distribution</w:t>
      </w:r>
    </w:p>
    <w:p>
      <w:r>
        <w:rPr>
          <w:rFonts w:ascii="Calibri" w:hAnsi="Calibri"/>
          <w:b w:val="0"/>
          <w:i w:val="0"/>
          <w:sz w:val="22"/>
        </w:rPr>
        <w:t>Tissue distribution studies using radiolabeled BPC-157 revealed that the peptide distributes widely throughout the body but accumulates preferentially in certain organs. The highest concentrations were found in the kidneys, consistent with the renal excretion route and the kidney's role in peptide catabolism. Significant concentrations were also found in the liver (the primary site of metabolism), the stomach (the tissue of origin for the parent protein), and the spleen (an organ rich in immune cells). Lower but detectable concentrations were found in muscle, brain, heart, and lung tissue. The accumulation in the stomach is particularly interesting, as it suggests a tropism for the tissue where the parent BPC protein normally functions, potentially mediated by specific receptors or binding sites on gastric cells.</w:t>
      </w:r>
    </w:p>
    <w:p>
      <w:pPr>
        <w:pStyle w:val="Heading2"/>
      </w:pPr>
      <w:r>
        <w:rPr>
          <w:rFonts w:ascii="Calibri" w:hAnsi="Calibri"/>
          <w:color w:val="0B2A4A"/>
        </w:rPr>
        <w:t>The Half-Life Problem</w:t>
      </w:r>
    </w:p>
    <w:p>
      <w:r>
        <w:rPr>
          <w:rFonts w:ascii="Calibri" w:hAnsi="Calibri"/>
          <w:b w:val="0"/>
          <w:i w:val="0"/>
          <w:sz w:val="22"/>
        </w:rPr>
        <w:t>The sub-30-minute plasma half-life of BPC-157 represents perhaps the most significant barrier to its clinical development as a therapeutic agent. A drug with a half-life of less than 30 minutes requires either continuous infusion or very frequent dosing to maintain therapeutic plasma concentrations. After a single dose, more than 97% of the drug is eliminated within 2.5 hours (five half-lives). For a peptide intended to treat chronic conditions like tendinopathy, inflammatory bowel disease, or neurodegenerative disorders, this rapid elimination poses insurmountable practical challenges. No patient is going to inject a drug every 30 minutes, and even every-few-hours dosing would be burdensome and impractical for chronic conditions.</w:t>
      </w:r>
    </w:p>
    <w:p>
      <w:r>
        <w:rPr>
          <w:rFonts w:ascii="Calibri" w:hAnsi="Calibri"/>
          <w:b w:val="0"/>
          <w:i w:val="0"/>
          <w:sz w:val="22"/>
        </w:rPr>
        <w:t>This pharmacokinetic limitation raises a fundamental paradox in BPC-157 research: the animal studies consistently show significant therapeutic effects with once-daily or even once-every-other-day dosing regimens, despite the peptide being eliminated from the plasma within hours. Several explanations have been proposed for this discrepancy. First, BPC-157 may exert its effects through brief 'hit-and-run' signaling events that trigger long-lasting changes in gene expression, such that a transient peak in plasma concentration is sufficient to initiate a sustained biological response. Second, BPC-157 may accumulate in tissues (particularly at sites of injury) at concentrations that remain therapeutically active even after plasma levels have fallen below detectable limits. Third, the effective doses used in animal studies may produce tissue concentrations far above the minimum required for biological activity, such that even after 95% elimination, the remaining 5% is still sufficient to produce an effect.</w:t>
      </w:r>
    </w:p>
    <w:p>
      <w:r>
        <w:rPr>
          <w:rFonts w:ascii="Calibri" w:hAnsi="Calibri"/>
          <w:b w:val="0"/>
          <w:i w:val="0"/>
          <w:sz w:val="22"/>
        </w:rPr>
        <w:t>Regardless of the explanation, the short half-life is a critical weakness from a drug development perspective. Regulatory agencies expect therapeutic peptides to demonstrate consistent, predictable plasma concentrations within a defined therapeutic window. The combination of rapid clearance and uncertain tissue pharmacokinetics makes it difficult to establish dose-response relationships, predict drug interactions, or define safety margins — all prerequisites for regulatory approval. This half-life problem is the primary motivation for developing modified BPC-157 analogs with extended duration of action, as discussed in Chapter 12.</w:t>
      </w:r>
    </w:p>
    <w:p>
      <w:r>
        <w:br w:type="page"/>
      </w:r>
    </w:p>
    <w:p>
      <w:pPr>
        <w:pStyle w:val="Heading1"/>
      </w:pPr>
      <w:r>
        <w:rPr>
          <w:rFonts w:ascii="Calibri" w:hAnsi="Calibri"/>
          <w:color w:val="0B2A4A"/>
        </w:rPr>
        <w:t>Chapter 7: Safety and Toxicology</w:t>
      </w:r>
    </w:p>
    <w:p>
      <w:r>
        <w:rPr>
          <w:rFonts w:ascii="Calibri" w:hAnsi="Calibri"/>
          <w:b w:val="0"/>
          <w:i w:val="0"/>
          <w:sz w:val="22"/>
        </w:rPr>
        <w:t>The safety profile of BPC-157 in preclinical studies is, by most measures, remarkably clean. Across hundreds of animal studies spanning more than three decades, no significant acute or chronic toxicity has been reported at doses ranging from 6 micrograms per kilogram (mcg/kg) to 20 milligrams per kilogram (mg/kg) — a range spanning more than three orders of magnitude. The lethal dose has never been determined because researchers have been unable to achieve an LD1 (the dose lethal to 1% of test animals), even at the highest doses tested. This is an extraordinary safety margin that is rarely seen even among well-established pharmaceutical agents.</w:t>
      </w:r>
    </w:p>
    <w:p>
      <w:r>
        <w:rPr>
          <w:rFonts w:ascii="Calibri" w:hAnsi="Calibri"/>
          <w:b w:val="0"/>
          <w:i w:val="0"/>
          <w:sz w:val="22"/>
        </w:rPr>
        <w:t>Formal toxicology assessments have included standard genotoxicity tests. The Ames test, which uses bacterial strains to detect mutagenic potential, has been reported as negative for BPC-157, indicating that the peptide does not cause DNA mutations at the tested concentrations. No teratogenic effects (birth defects) have been observed in reproductive toxicity studies, though the extent and rigor of these studies is not well documented in the published literature. No evidence of organ toxicity has been found in histopathological examination of liver, kidney, heart, lung, brain, spleen, or other organs in animals treated with BPC-157 at various dose levels and durations.</w:t>
      </w:r>
    </w:p>
    <w:p>
      <w:r>
        <w:rPr>
          <w:rFonts w:ascii="Calibri" w:hAnsi="Calibri"/>
          <w:b w:val="0"/>
          <w:i w:val="0"/>
          <w:sz w:val="22"/>
        </w:rPr>
        <w:t>However, several important caveats must be noted. First, no published safety study has extended beyond six weeks of continuous administration. Chronic toxicity studies of 13 weeks, 26 weeks, or longer — which are standard requirements for regulatory approval of any new therapeutic agent — have not been published. It is possible that longer-term administration could reveal toxicities that are not apparent in shorter studies, particularly effects related to chronic stimulation of growth factor pathways. Second, there is essentially no human safety data. The three published clinical studies (discussed in Chapter 8) involved fewer than 30 total subjects and did not include comprehensive safety assessments. The withdrawn Phase I data from PharmaCotherapia could potentially contain safety information that has not been made public.</w:t>
      </w:r>
    </w:p>
    <w:p>
      <w:pPr>
        <w:pStyle w:val="Heading2"/>
      </w:pPr>
      <w:r>
        <w:rPr>
          <w:rFonts w:ascii="Calibri" w:hAnsi="Calibri"/>
          <w:color w:val="0B2A4A"/>
        </w:rPr>
        <w:t>The Cancer Risk Debate</w:t>
      </w:r>
    </w:p>
    <w:p>
      <w:r>
        <w:rPr>
          <w:rFonts w:ascii="Calibri" w:hAnsi="Calibri"/>
          <w:b w:val="0"/>
          <w:i w:val="0"/>
          <w:sz w:val="22"/>
        </w:rPr>
        <w:t>The most significant theoretical safety concern surrounding BPC-157 relates to its potential effects on cancer. BPC-157 activates several molecular pathways that are well-known to be involved in cancer development and progression. The FAK-paxillin pathway promotes cell migration and invasion — key steps in cancer metastasis. The VEGFR2-mediated angiogenic pathway promotes the formation of new blood vessels — a process that tumors hijack to secure their blood supply (tumor angiogenesis). The ERK1/2 pathway promotes cell proliferation, which is the fundamental hallmark of cancer. Any agent that activates these pathways has, at minimum, a theoretical potential to promote tumor growth or metastasis in individuals who harbor occult (undetected) cancers.</w:t>
      </w:r>
    </w:p>
    <w:p>
      <w:r>
        <w:rPr>
          <w:rFonts w:ascii="Calibri" w:hAnsi="Calibri"/>
          <w:b w:val="0"/>
          <w:i w:val="0"/>
          <w:sz w:val="22"/>
        </w:rPr>
        <w:t>The BPC-157 research community is divided on this issue. Dr. Sikiric and his Zagreb group have argued that BPC-157 is not pro-tumorigenic and may in fact have anti-tumor properties. They cite several lines of evidence: (1) in some studies, BPC-157 has been reported to reduce tumor growth in certain cancer models; (2) the EGR-1/NAB2 negative feedback loop (discussed in Chapter 4) provides a built-in mechanism to prevent runaway cell proliferation; (3) BPC-157's anti-inflammatory effects could be anti-tumorigenic, as chronic inflammation is a known driver of cancer development; and (4) in the corneal healing model, BPC-157 promoted wound repair without inducing neovascularization, suggesting that its angiogenic effects are context-dependent and not constitutively active.</w:t>
      </w:r>
    </w:p>
    <w:p>
      <w:r>
        <w:rPr>
          <w:rFonts w:ascii="Calibri" w:hAnsi="Calibri"/>
          <w:b w:val="0"/>
          <w:i w:val="0"/>
          <w:sz w:val="22"/>
        </w:rPr>
        <w:t>On the other side of the debate, a Polish research group and independent reviewers have raised concerns about the cancer risk. They note that: (1) the Zagreb group's cancer studies have not been independently replicated; (2) the theoretical mechanisms linking BPC-157 to cancer promotion are well-established for the individual pathways involved; (3) the absence of long-term animal studies means that delayed oncogenic effects cannot be ruled out; and (4) the widespread unregulated use of BPC-157 by self-experimenting individuals creates a population-level risk that is not being monitored or tracked. The honest assessment is that the cancer risk of BPC-157 is theoretical but cannot be dismissed without rigorous long-term studies in animals and humans. Given that millions of people may have already used underground BPC-157 preparations, there is an urgent need for epidemiological surveillance and properly designed safety studies.</w:t>
      </w:r>
    </w:p>
    <w:p>
      <w:r>
        <w:br w:type="page"/>
      </w:r>
    </w:p>
    <w:p>
      <w:pPr>
        <w:pStyle w:val="Heading1"/>
      </w:pPr>
      <w:r>
        <w:rPr>
          <w:rFonts w:ascii="Calibri" w:hAnsi="Calibri"/>
          <w:color w:val="0B2A4A"/>
        </w:rPr>
        <w:t>Chapter 8: Human Studies</w:t>
      </w:r>
    </w:p>
    <w:p>
      <w:r>
        <w:rPr>
          <w:rFonts w:ascii="Calibri" w:hAnsi="Calibri"/>
          <w:b w:val="0"/>
          <w:i w:val="0"/>
          <w:sz w:val="22"/>
        </w:rPr>
        <w:t>Despite more than 150 preclinical publications spanning three decades, the clinical evidence base for BPC-157 in humans is remarkably thin. As of April 2026, only three peer-reviewed publications report the use of BPC-157 in human subjects, involving fewer than 30 total participants. None of these studies include a placebo control group, blinding, or randomization — the basic design elements required to draw causal conclusions about a treatment's efficacy. This chapter reviews each published study and the ongoing clinical trial landscape.</w:t>
      </w:r>
    </w:p>
    <w:p>
      <w:pPr>
        <w:pStyle w:val="Heading2"/>
      </w:pPr>
      <w:r>
        <w:rPr>
          <w:rFonts w:ascii="Calibri" w:hAnsi="Calibri"/>
          <w:color w:val="0B2A4A"/>
        </w:rPr>
        <w:t>Published Human Studies</w:t>
      </w:r>
    </w:p>
    <w:p>
      <w:r>
        <w:rPr>
          <w:rFonts w:ascii="Calibri" w:hAnsi="Calibri"/>
          <w:b w:val="0"/>
          <w:i w:val="0"/>
          <w:sz w:val="22"/>
        </w:rPr>
        <w:t>The first published human use of BPC-157 appeared in a 2021 case series by Dr. Brian Lee and co-author John Padgett. This study, published in a lower-tier journal, reported on 16 patients who received BPC-157 injections for chronic knee pain of various etiologies, including osteoarthritis, meniscal tears, and chondromalacia patellae. The BPC-157 was administered by periarticular injection (around the knee joint) at doses ranging from 200 to 500 micrograms per injection, with patients receiving 4 to 8 weekly injections. The study reported improvements in pain scores (measured by Visual Analog Scale) and functional outcomes (measured by the KOOS questionnaire) in the majority of patients. However, the study had no control group, was not blinded (patients knew they were receiving BPC-157), did not employ validated objective outcome measures (such as MRI assessment of cartilage or arthroscopic evaluation), and was retrospective in design. The results are therefore impossible to distinguish from placebo effect, natural history of the disease, or regression to the mean.</w:t>
      </w:r>
    </w:p>
    <w:p>
      <w:r>
        <w:rPr>
          <w:rFonts w:ascii="Calibri" w:hAnsi="Calibri"/>
          <w:b w:val="0"/>
          <w:i w:val="0"/>
          <w:sz w:val="22"/>
        </w:rPr>
        <w:t>Dr. Lee's second study, published in 2024, reported on 12 women with interstitial cystitis (IC), a chronic bladder condition characterized by pelvic pain and urinary frequency. Patients received intravesical instillation of BPC-157 (administered directly into the bladder via catheter) at weekly intervals. The study reported improvements in the O'Leary-Sant Interstitial Cystitis Symptom and Problem Index scores, as well as reductions in urinary frequency and pain. Again, the study lacked a control group, blinding, or randomization. Interstitial cystitis is known to have a significant placebo response rate (up to 30-40% in controlled trials), making uncontrolled studies particularly unreliable in this condition.</w:t>
      </w:r>
    </w:p>
    <w:p>
      <w:r>
        <w:rPr>
          <w:rFonts w:ascii="Calibri" w:hAnsi="Calibri"/>
          <w:b w:val="0"/>
          <w:i w:val="0"/>
          <w:sz w:val="22"/>
        </w:rPr>
        <w:t>The third human publication, by Lee and Burgess in 2025, reported on two subjects who received intravenous BPC-157 as a safety assessment. The subjects received escalating doses of IV BPC-157 with monitoring of vital signs, electrocardiogram, and standard laboratory parameters. No adverse events were reported, and all monitored parameters remained within normal limits. While this study provides some reassurance about the acute safety of IV BPC-157, two subjects is far too few to draw meaningful conclusions about safety, and the study did not include comprehensive pharmacokinetic assessments or extended follow-up.</w:t>
      </w:r>
    </w:p>
    <w:p>
      <w:pPr>
        <w:pStyle w:val="Heading2"/>
      </w:pPr>
      <w:r>
        <w:rPr>
          <w:rFonts w:ascii="Calibri" w:hAnsi="Calibri"/>
          <w:color w:val="0B2A4A"/>
        </w:rPr>
        <w:t>The Abandoned Phase I Trial</w:t>
      </w:r>
    </w:p>
    <w:p>
      <w:r>
        <w:rPr>
          <w:rFonts w:ascii="Calibri" w:hAnsi="Calibri"/>
          <w:b w:val="0"/>
          <w:i w:val="0"/>
          <w:sz w:val="22"/>
        </w:rPr>
        <w:t>Perhaps the most significant event in the clinical history of BPC-157 is the abandoned Phase I trial registered by PharmaCotherapia on ClinicalTrials.gov under the identifier NCT02637284. This trial, registered in December 2015, was designed as a randomized, double-blind, placebo-controlled, single- and multiple-ascending-dose study of oral BPC-157 in 42 healthy male and female volunteers. The trial was to be conducted in Zagreb, Croatia, and the stated primary objective was to evaluate the safety, tolerability, and pharmacokinetics of BPC-157 administered as an oral capsule at doses of 1 microgram, 10 micrograms, 100 micrograms, and 1 milligram. This was, by design, a properly conducted Phase I trial that could have provided the foundational human safety and PK data needed to advance BPC-157 into efficacy trials.</w:t>
      </w:r>
    </w:p>
    <w:p>
      <w:r>
        <w:rPr>
          <w:rFonts w:ascii="Calibri" w:hAnsi="Calibri"/>
          <w:b w:val="0"/>
          <w:i w:val="0"/>
          <w:sz w:val="22"/>
        </w:rPr>
        <w:t>The trial status was updated several times between 2015 and 2019, suggesting that enrollment and possibly dosing had occurred. However, in 2019, the trial status was changed to 'withdrawn' and the data were removed from the registry without publication. No explanation was provided for the withdrawal, and no results from the trial have ever appeared in the scientific literature or at medical conferences. The withdrawal of this trial data is one of the most troubling aspects of the BPC-157 story. A properly conducted Phase I trial that generated data — even negative or equivocal data — represents a significant scientific resource. The decision to withhold this data from the scientific community raises questions about what the data showed and why the sponsor chose not to disclose it.</w:t>
      </w:r>
    </w:p>
    <w:p>
      <w:pPr>
        <w:pStyle w:val="Heading2"/>
      </w:pPr>
      <w:r>
        <w:rPr>
          <w:rFonts w:ascii="Calibri" w:hAnsi="Calibri"/>
          <w:color w:val="0B2A4A"/>
        </w:rPr>
        <w:t>Ongoing Clinical Trials</w:t>
      </w:r>
    </w:p>
    <w:p>
      <w:r>
        <w:rPr>
          <w:rFonts w:ascii="Calibri" w:hAnsi="Calibri"/>
          <w:b w:val="0"/>
          <w:i w:val="0"/>
          <w:sz w:val="22"/>
        </w:rPr>
        <w:t>The most significant clinical development for BPC-157 as of April 2026 is Hudson Biotech's Phase 2 clinical trial, registered under the identifier NCT07437547. This is a randomized, double-blind, placebo-controlled trial evaluating BPC-157 injection for the treatment of proximal hamstring tendon injuries. The trial plans to enroll 120 patients at multiple sites and began enrollment in February 2026, with results expected in February 2027. The primary endpoint is change in pain and function at 12 weeks, as measured by the Perth Hamstring Assessment Tool (PHAT). This trial represents the first rigorously designed efficacy study of BPC-157 in humans and, if positive, could mark a turning point in the legitimacy of BPC-157 as a therapeutic agent.</w:t>
      </w:r>
    </w:p>
    <w:p>
      <w:pPr>
        <w:pStyle w:val="Heading2"/>
      </w:pPr>
      <w:r>
        <w:rPr>
          <w:rFonts w:ascii="Calibri" w:hAnsi="Calibri"/>
          <w:color w:val="0B2A4A"/>
        </w:rPr>
        <w:t>Summary of Human Studies</w:t>
      </w:r>
    </w:p>
    <w:tbl>
      <w:tblPr>
        <w:tblStyle w:val="TableGrid"/>
        <w:tblW w:type="auto" w:w="0"/>
        <w:jc w:val="center"/>
        <w:tblLook w:firstColumn="1" w:firstRow="1" w:lastColumn="0" w:lastRow="0" w:noHBand="0" w:noVBand="1" w:val="04A0"/>
      </w:tblPr>
      <w:tblGrid>
        <w:gridCol w:w="1337"/>
        <w:gridCol w:w="1337"/>
        <w:gridCol w:w="1337"/>
        <w:gridCol w:w="1337"/>
        <w:gridCol w:w="1337"/>
        <w:gridCol w:w="1337"/>
        <w:gridCol w:w="1337"/>
      </w:tblGrid>
      <w:tr>
        <w:tc>
          <w:tcPr>
            <w:tcW w:type="dxa" w:w="1440"/>
            <w:shd w:fill="0B2A4A"/>
          </w:tcPr>
          <w:p>
            <w:r/>
            <w:r>
              <w:rPr>
                <w:rFonts w:ascii="Calibri" w:hAnsi="Calibri"/>
                <w:b/>
                <w:color w:val="FFFFFF"/>
                <w:sz w:val="20"/>
              </w:rPr>
              <w:t>Study</w:t>
            </w:r>
          </w:p>
        </w:tc>
        <w:tc>
          <w:tcPr>
            <w:tcW w:type="dxa" w:w="720"/>
            <w:shd w:fill="0B2A4A"/>
          </w:tcPr>
          <w:p>
            <w:r/>
            <w:r>
              <w:rPr>
                <w:rFonts w:ascii="Calibri" w:hAnsi="Calibri"/>
                <w:b/>
                <w:color w:val="FFFFFF"/>
                <w:sz w:val="20"/>
              </w:rPr>
              <w:t>Year</w:t>
            </w:r>
          </w:p>
        </w:tc>
        <w:tc>
          <w:tcPr>
            <w:tcW w:type="dxa" w:w="576"/>
            <w:shd w:fill="0B2A4A"/>
          </w:tcPr>
          <w:p>
            <w:r/>
            <w:r>
              <w:rPr>
                <w:rFonts w:ascii="Calibri" w:hAnsi="Calibri"/>
                <w:b/>
                <w:color w:val="FFFFFF"/>
                <w:sz w:val="20"/>
              </w:rPr>
              <w:t>N</w:t>
            </w:r>
          </w:p>
        </w:tc>
        <w:tc>
          <w:tcPr>
            <w:tcW w:type="dxa" w:w="1440"/>
            <w:shd w:fill="0B2A4A"/>
          </w:tcPr>
          <w:p>
            <w:r/>
            <w:r>
              <w:rPr>
                <w:rFonts w:ascii="Calibri" w:hAnsi="Calibri"/>
                <w:b/>
                <w:color w:val="FFFFFF"/>
                <w:sz w:val="20"/>
              </w:rPr>
              <w:t>Indication</w:t>
            </w:r>
          </w:p>
        </w:tc>
        <w:tc>
          <w:tcPr>
            <w:tcW w:type="dxa" w:w="1728"/>
            <w:shd w:fill="0B2A4A"/>
          </w:tcPr>
          <w:p>
            <w:r/>
            <w:r>
              <w:rPr>
                <w:rFonts w:ascii="Calibri" w:hAnsi="Calibri"/>
                <w:b/>
                <w:color w:val="FFFFFF"/>
                <w:sz w:val="20"/>
              </w:rPr>
              <w:t>Design</w:t>
            </w:r>
          </w:p>
        </w:tc>
        <w:tc>
          <w:tcPr>
            <w:tcW w:type="dxa" w:w="1584"/>
            <w:shd w:fill="0B2A4A"/>
          </w:tcPr>
          <w:p>
            <w:r/>
            <w:r>
              <w:rPr>
                <w:rFonts w:ascii="Calibri" w:hAnsi="Calibri"/>
                <w:b/>
                <w:color w:val="FFFFFF"/>
                <w:sz w:val="20"/>
              </w:rPr>
              <w:t>Key Finding</w:t>
            </w:r>
          </w:p>
        </w:tc>
        <w:tc>
          <w:tcPr>
            <w:tcW w:type="dxa" w:w="1728"/>
            <w:shd w:fill="0B2A4A"/>
          </w:tcPr>
          <w:p>
            <w:r/>
            <w:r>
              <w:rPr>
                <w:rFonts w:ascii="Calibri" w:hAnsi="Calibri"/>
                <w:b/>
                <w:color w:val="FFFFFF"/>
                <w:sz w:val="20"/>
              </w:rPr>
              <w:t>Limitations</w:t>
            </w:r>
          </w:p>
        </w:tc>
      </w:tr>
      <w:tr>
        <w:tc>
          <w:tcPr>
            <w:tcW w:type="dxa" w:w="1440"/>
            <w:shd w:fill="D9E2F3"/>
          </w:tcPr>
          <w:p>
            <w:r/>
            <w:r>
              <w:rPr>
                <w:rFonts w:ascii="Calibri" w:hAnsi="Calibri"/>
                <w:sz w:val="20"/>
              </w:rPr>
              <w:t>Lee &amp; Padgett</w:t>
            </w:r>
          </w:p>
        </w:tc>
        <w:tc>
          <w:tcPr>
            <w:tcW w:type="dxa" w:w="720"/>
            <w:shd w:fill="D9E2F3"/>
          </w:tcPr>
          <w:p>
            <w:r/>
            <w:r>
              <w:rPr>
                <w:rFonts w:ascii="Calibri" w:hAnsi="Calibri"/>
                <w:sz w:val="20"/>
              </w:rPr>
              <w:t>2021</w:t>
            </w:r>
          </w:p>
        </w:tc>
        <w:tc>
          <w:tcPr>
            <w:tcW w:type="dxa" w:w="576"/>
            <w:shd w:fill="D9E2F3"/>
          </w:tcPr>
          <w:p>
            <w:r/>
            <w:r>
              <w:rPr>
                <w:rFonts w:ascii="Calibri" w:hAnsi="Calibri"/>
                <w:sz w:val="20"/>
              </w:rPr>
              <w:t>16</w:t>
            </w:r>
          </w:p>
        </w:tc>
        <w:tc>
          <w:tcPr>
            <w:tcW w:type="dxa" w:w="1440"/>
            <w:shd w:fill="D9E2F3"/>
          </w:tcPr>
          <w:p>
            <w:r/>
            <w:r>
              <w:rPr>
                <w:rFonts w:ascii="Calibri" w:hAnsi="Calibri"/>
                <w:sz w:val="20"/>
              </w:rPr>
              <w:t>Knee pain</w:t>
            </w:r>
          </w:p>
        </w:tc>
        <w:tc>
          <w:tcPr>
            <w:tcW w:type="dxa" w:w="1728"/>
            <w:shd w:fill="D9E2F3"/>
          </w:tcPr>
          <w:p>
            <w:r/>
            <w:r>
              <w:rPr>
                <w:rFonts w:ascii="Calibri" w:hAnsi="Calibri"/>
                <w:sz w:val="20"/>
              </w:rPr>
              <w:t>Retrospective case series</w:t>
            </w:r>
          </w:p>
        </w:tc>
        <w:tc>
          <w:tcPr>
            <w:tcW w:type="dxa" w:w="1584"/>
            <w:shd w:fill="D9E2F3"/>
          </w:tcPr>
          <w:p>
            <w:r/>
            <w:r>
              <w:rPr>
                <w:rFonts w:ascii="Calibri" w:hAnsi="Calibri"/>
                <w:sz w:val="20"/>
              </w:rPr>
              <w:t>Improved pain/function</w:t>
            </w:r>
          </w:p>
        </w:tc>
        <w:tc>
          <w:tcPr>
            <w:tcW w:type="dxa" w:w="1728"/>
            <w:shd w:fill="D9E2F3"/>
          </w:tcPr>
          <w:p>
            <w:r/>
            <w:r>
              <w:rPr>
                <w:rFonts w:ascii="Calibri" w:hAnsi="Calibri"/>
                <w:sz w:val="20"/>
              </w:rPr>
              <w:t>No control, no blinding</w:t>
            </w:r>
          </w:p>
        </w:tc>
      </w:tr>
      <w:tr>
        <w:tc>
          <w:tcPr>
            <w:tcW w:type="dxa" w:w="1440"/>
          </w:tcPr>
          <w:p>
            <w:r/>
            <w:r>
              <w:rPr>
                <w:rFonts w:ascii="Calibri" w:hAnsi="Calibri"/>
                <w:sz w:val="20"/>
              </w:rPr>
              <w:t>Lee et al.</w:t>
            </w:r>
          </w:p>
        </w:tc>
        <w:tc>
          <w:tcPr>
            <w:tcW w:type="dxa" w:w="720"/>
          </w:tcPr>
          <w:p>
            <w:r/>
            <w:r>
              <w:rPr>
                <w:rFonts w:ascii="Calibri" w:hAnsi="Calibri"/>
                <w:sz w:val="20"/>
              </w:rPr>
              <w:t>2024</w:t>
            </w:r>
          </w:p>
        </w:tc>
        <w:tc>
          <w:tcPr>
            <w:tcW w:type="dxa" w:w="576"/>
          </w:tcPr>
          <w:p>
            <w:r/>
            <w:r>
              <w:rPr>
                <w:rFonts w:ascii="Calibri" w:hAnsi="Calibri"/>
                <w:sz w:val="20"/>
              </w:rPr>
              <w:t>12</w:t>
            </w:r>
          </w:p>
        </w:tc>
        <w:tc>
          <w:tcPr>
            <w:tcW w:type="dxa" w:w="1440"/>
          </w:tcPr>
          <w:p>
            <w:r/>
            <w:r>
              <w:rPr>
                <w:rFonts w:ascii="Calibri" w:hAnsi="Calibri"/>
                <w:sz w:val="20"/>
              </w:rPr>
              <w:t>Interstitial cystitis</w:t>
            </w:r>
          </w:p>
        </w:tc>
        <w:tc>
          <w:tcPr>
            <w:tcW w:type="dxa" w:w="1728"/>
          </w:tcPr>
          <w:p>
            <w:r/>
            <w:r>
              <w:rPr>
                <w:rFonts w:ascii="Calibri" w:hAnsi="Calibri"/>
                <w:sz w:val="20"/>
              </w:rPr>
              <w:t>Prospective case series</w:t>
            </w:r>
          </w:p>
        </w:tc>
        <w:tc>
          <w:tcPr>
            <w:tcW w:type="dxa" w:w="1584"/>
          </w:tcPr>
          <w:p>
            <w:r/>
            <w:r>
              <w:rPr>
                <w:rFonts w:ascii="Calibri" w:hAnsi="Calibri"/>
                <w:sz w:val="20"/>
              </w:rPr>
              <w:t>Improved IC symptoms</w:t>
            </w:r>
          </w:p>
        </w:tc>
        <w:tc>
          <w:tcPr>
            <w:tcW w:type="dxa" w:w="1728"/>
          </w:tcPr>
          <w:p>
            <w:r/>
            <w:r>
              <w:rPr>
                <w:rFonts w:ascii="Calibri" w:hAnsi="Calibri"/>
                <w:sz w:val="20"/>
              </w:rPr>
              <w:t>No control, no blinding</w:t>
            </w:r>
          </w:p>
        </w:tc>
      </w:tr>
      <w:tr>
        <w:tc>
          <w:tcPr>
            <w:tcW w:type="dxa" w:w="1440"/>
            <w:shd w:fill="D9E2F3"/>
          </w:tcPr>
          <w:p>
            <w:r/>
            <w:r>
              <w:rPr>
                <w:rFonts w:ascii="Calibri" w:hAnsi="Calibri"/>
                <w:sz w:val="20"/>
              </w:rPr>
              <w:t>Lee &amp; Burgess</w:t>
            </w:r>
          </w:p>
        </w:tc>
        <w:tc>
          <w:tcPr>
            <w:tcW w:type="dxa" w:w="720"/>
            <w:shd w:fill="D9E2F3"/>
          </w:tcPr>
          <w:p>
            <w:r/>
            <w:r>
              <w:rPr>
                <w:rFonts w:ascii="Calibri" w:hAnsi="Calibri"/>
                <w:sz w:val="20"/>
              </w:rPr>
              <w:t>2025</w:t>
            </w:r>
          </w:p>
        </w:tc>
        <w:tc>
          <w:tcPr>
            <w:tcW w:type="dxa" w:w="576"/>
            <w:shd w:fill="D9E2F3"/>
          </w:tcPr>
          <w:p>
            <w:r/>
            <w:r>
              <w:rPr>
                <w:rFonts w:ascii="Calibri" w:hAnsi="Calibri"/>
                <w:sz w:val="20"/>
              </w:rPr>
              <w:t>2</w:t>
            </w:r>
          </w:p>
        </w:tc>
        <w:tc>
          <w:tcPr>
            <w:tcW w:type="dxa" w:w="1440"/>
            <w:shd w:fill="D9E2F3"/>
          </w:tcPr>
          <w:p>
            <w:r/>
            <w:r>
              <w:rPr>
                <w:rFonts w:ascii="Calibri" w:hAnsi="Calibri"/>
                <w:sz w:val="20"/>
              </w:rPr>
              <w:t>Safety (IV)</w:t>
            </w:r>
          </w:p>
        </w:tc>
        <w:tc>
          <w:tcPr>
            <w:tcW w:type="dxa" w:w="1728"/>
            <w:shd w:fill="D9E2F3"/>
          </w:tcPr>
          <w:p>
            <w:r/>
            <w:r>
              <w:rPr>
                <w:rFonts w:ascii="Calibri" w:hAnsi="Calibri"/>
                <w:sz w:val="20"/>
              </w:rPr>
              <w:t>Open-label safety</w:t>
            </w:r>
          </w:p>
        </w:tc>
        <w:tc>
          <w:tcPr>
            <w:tcW w:type="dxa" w:w="1584"/>
            <w:shd w:fill="D9E2F3"/>
          </w:tcPr>
          <w:p>
            <w:r/>
            <w:r>
              <w:rPr>
                <w:rFonts w:ascii="Calibri" w:hAnsi="Calibri"/>
                <w:sz w:val="20"/>
              </w:rPr>
              <w:t>No adverse events</w:t>
            </w:r>
          </w:p>
        </w:tc>
        <w:tc>
          <w:tcPr>
            <w:tcW w:type="dxa" w:w="1728"/>
            <w:shd w:fill="D9E2F3"/>
          </w:tcPr>
          <w:p>
            <w:r/>
            <w:r>
              <w:rPr>
                <w:rFonts w:ascii="Calibri" w:hAnsi="Calibri"/>
                <w:sz w:val="20"/>
              </w:rPr>
              <w:t>N=2, no PK data</w:t>
            </w:r>
          </w:p>
        </w:tc>
      </w:tr>
      <w:tr>
        <w:tc>
          <w:tcPr>
            <w:tcW w:type="dxa" w:w="1440"/>
          </w:tcPr>
          <w:p>
            <w:r/>
            <w:r>
              <w:rPr>
                <w:rFonts w:ascii="Calibri" w:hAnsi="Calibri"/>
                <w:sz w:val="20"/>
              </w:rPr>
              <w:t>PharmaCotherapia</w:t>
            </w:r>
          </w:p>
        </w:tc>
        <w:tc>
          <w:tcPr>
            <w:tcW w:type="dxa" w:w="720"/>
          </w:tcPr>
          <w:p>
            <w:r/>
            <w:r>
              <w:rPr>
                <w:rFonts w:ascii="Calibri" w:hAnsi="Calibri"/>
                <w:sz w:val="20"/>
              </w:rPr>
              <w:t>2015-19</w:t>
            </w:r>
          </w:p>
        </w:tc>
        <w:tc>
          <w:tcPr>
            <w:tcW w:type="dxa" w:w="576"/>
          </w:tcPr>
          <w:p>
            <w:r/>
            <w:r>
              <w:rPr>
                <w:rFonts w:ascii="Calibri" w:hAnsi="Calibri"/>
                <w:sz w:val="20"/>
              </w:rPr>
              <w:t>42*</w:t>
            </w:r>
          </w:p>
        </w:tc>
        <w:tc>
          <w:tcPr>
            <w:tcW w:type="dxa" w:w="1440"/>
          </w:tcPr>
          <w:p>
            <w:r/>
            <w:r>
              <w:rPr>
                <w:rFonts w:ascii="Calibri" w:hAnsi="Calibri"/>
                <w:sz w:val="20"/>
              </w:rPr>
              <w:t>Healthy volunteers</w:t>
            </w:r>
          </w:p>
        </w:tc>
        <w:tc>
          <w:tcPr>
            <w:tcW w:type="dxa" w:w="1728"/>
          </w:tcPr>
          <w:p>
            <w:r/>
            <w:r>
              <w:rPr>
                <w:rFonts w:ascii="Calibri" w:hAnsi="Calibri"/>
                <w:sz w:val="20"/>
              </w:rPr>
              <w:t>Phase I RCT (abandoned)</w:t>
            </w:r>
          </w:p>
        </w:tc>
        <w:tc>
          <w:tcPr>
            <w:tcW w:type="dxa" w:w="1584"/>
          </w:tcPr>
          <w:p>
            <w:r/>
            <w:r>
              <w:rPr>
                <w:rFonts w:ascii="Calibri" w:hAnsi="Calibri"/>
                <w:sz w:val="20"/>
              </w:rPr>
              <w:t>Data withdrawn</w:t>
            </w:r>
          </w:p>
        </w:tc>
        <w:tc>
          <w:tcPr>
            <w:tcW w:type="dxa" w:w="1728"/>
          </w:tcPr>
          <w:p>
            <w:r/>
            <w:r>
              <w:rPr>
                <w:rFonts w:ascii="Calibri" w:hAnsi="Calibri"/>
                <w:sz w:val="20"/>
              </w:rPr>
              <w:t>Results never published</w:t>
            </w:r>
          </w:p>
        </w:tc>
      </w:tr>
      <w:tr>
        <w:tc>
          <w:tcPr>
            <w:tcW w:type="dxa" w:w="1440"/>
            <w:shd w:fill="D9E2F3"/>
          </w:tcPr>
          <w:p>
            <w:r/>
            <w:r>
              <w:rPr>
                <w:rFonts w:ascii="Calibri" w:hAnsi="Calibri"/>
                <w:sz w:val="20"/>
              </w:rPr>
              <w:t>Hudson Biotech</w:t>
            </w:r>
          </w:p>
        </w:tc>
        <w:tc>
          <w:tcPr>
            <w:tcW w:type="dxa" w:w="720"/>
            <w:shd w:fill="D9E2F3"/>
          </w:tcPr>
          <w:p>
            <w:r/>
            <w:r>
              <w:rPr>
                <w:rFonts w:ascii="Calibri" w:hAnsi="Calibri"/>
                <w:sz w:val="20"/>
              </w:rPr>
              <w:t>2026-27</w:t>
            </w:r>
          </w:p>
        </w:tc>
        <w:tc>
          <w:tcPr>
            <w:tcW w:type="dxa" w:w="576"/>
            <w:shd w:fill="D9E2F3"/>
          </w:tcPr>
          <w:p>
            <w:r/>
            <w:r>
              <w:rPr>
                <w:rFonts w:ascii="Calibri" w:hAnsi="Calibri"/>
                <w:sz w:val="20"/>
              </w:rPr>
              <w:t>120</w:t>
            </w:r>
          </w:p>
        </w:tc>
        <w:tc>
          <w:tcPr>
            <w:tcW w:type="dxa" w:w="1440"/>
            <w:shd w:fill="D9E2F3"/>
          </w:tcPr>
          <w:p>
            <w:r/>
            <w:r>
              <w:rPr>
                <w:rFonts w:ascii="Calibri" w:hAnsi="Calibri"/>
                <w:sz w:val="20"/>
              </w:rPr>
              <w:t>Hamstring tendon</w:t>
            </w:r>
          </w:p>
        </w:tc>
        <w:tc>
          <w:tcPr>
            <w:tcW w:type="dxa" w:w="1728"/>
            <w:shd w:fill="D9E2F3"/>
          </w:tcPr>
          <w:p>
            <w:r/>
            <w:r>
              <w:rPr>
                <w:rFonts w:ascii="Calibri" w:hAnsi="Calibri"/>
                <w:sz w:val="20"/>
              </w:rPr>
              <w:t>Phase 2 RCT</w:t>
            </w:r>
          </w:p>
        </w:tc>
        <w:tc>
          <w:tcPr>
            <w:tcW w:type="dxa" w:w="1584"/>
            <w:shd w:fill="D9E2F3"/>
          </w:tcPr>
          <w:p>
            <w:r/>
            <w:r>
              <w:rPr>
                <w:rFonts w:ascii="Calibri" w:hAnsi="Calibri"/>
                <w:sz w:val="20"/>
              </w:rPr>
              <w:t>Ongoing</w:t>
            </w:r>
          </w:p>
        </w:tc>
        <w:tc>
          <w:tcPr>
            <w:tcW w:type="dxa" w:w="1728"/>
            <w:shd w:fill="D9E2F3"/>
          </w:tcPr>
          <w:p>
            <w:r/>
            <w:r>
              <w:rPr>
                <w:rFonts w:ascii="Calibri" w:hAnsi="Calibri"/>
                <w:sz w:val="20"/>
              </w:rPr>
              <w:t>Results expected Feb 2027</w:t>
            </w:r>
          </w:p>
        </w:tc>
      </w:tr>
    </w:tbl>
    <w:p/>
    <w:p>
      <w:r>
        <w:br w:type="page"/>
      </w:r>
    </w:p>
    <w:p>
      <w:pPr>
        <w:pStyle w:val="Heading1"/>
      </w:pPr>
      <w:r>
        <w:rPr>
          <w:rFonts w:ascii="Calibri" w:hAnsi="Calibri"/>
          <w:color w:val="0B2A4A"/>
        </w:rPr>
        <w:t>Chapter 9: The Controversies</w:t>
      </w:r>
    </w:p>
    <w:p>
      <w:pPr>
        <w:pStyle w:val="Heading2"/>
      </w:pPr>
      <w:r>
        <w:rPr>
          <w:rFonts w:ascii="Calibri" w:hAnsi="Calibri"/>
          <w:color w:val="0B2A4A"/>
        </w:rPr>
        <w:t>The Single-Laboratory Problem</w:t>
      </w:r>
    </w:p>
    <w:p>
      <w:r>
        <w:rPr>
          <w:rFonts w:ascii="Calibri" w:hAnsi="Calibri"/>
          <w:b w:val="0"/>
          <w:i w:val="0"/>
          <w:sz w:val="22"/>
        </w:rPr>
        <w:t>The most fundamental criticism of the BPC-157 literature is the overwhelming concentration of publications from a single research group. More than 80% of all published BPC-157 studies come from the laboratory of Dr. Predrag Sikiric and Professor Sven Seiwerth at the University of Zagreb. While there is nothing inherently wrong with a research group specializing in a particular molecule, the scientific community generally expects that important findings will be independently replicated by other laboratories before they are accepted as established fact. Independent replication serves as a check against systematic errors in experimental technique, unconscious bias in data interpretation, and — in the worst case — research fraud. For BPC-157, independent replication has been limited primarily to the Taiwan group's mechanistic work, the Chinese PK study, and a handful of other groups working on specific applications. The vast majority of the animal model studies showing therapeutic effects have not been independently replicated.</w:t>
      </w:r>
    </w:p>
    <w:p>
      <w:r>
        <w:rPr>
          <w:rFonts w:ascii="Calibri" w:hAnsi="Calibri"/>
          <w:b w:val="0"/>
          <w:i w:val="0"/>
          <w:sz w:val="22"/>
        </w:rPr>
        <w:t>The concentration of research in one group also means that the existing literature likely reflects the interests, expertise, and potential biases of that group. The Zagreb group has consistently reported positive results in every model they have tested — a publication record that is statistically improbable if the experiments were truly conducted without bias. This is not to accuse the group of fraud; publication bias (the tendency to publish positive results and suppress negative ones) is a well-documented phenomenon across all of biomedical research. But the total absence of negative or null results in the BPC-157 literature is a red flag that should give any objective evaluator pause.</w:t>
      </w:r>
    </w:p>
    <w:p>
      <w:pPr>
        <w:pStyle w:val="Heading2"/>
      </w:pPr>
      <w:r>
        <w:rPr>
          <w:rFonts w:ascii="Calibri" w:hAnsi="Calibri"/>
          <w:color w:val="0B2A4A"/>
        </w:rPr>
        <w:t>Conflicts of Interest</w:t>
      </w:r>
    </w:p>
    <w:p>
      <w:r>
        <w:rPr>
          <w:rFonts w:ascii="Calibri" w:hAnsi="Calibri"/>
          <w:b w:val="0"/>
          <w:i w:val="0"/>
          <w:sz w:val="22"/>
        </w:rPr>
        <w:t>Dr. Sikiric's financial relationships with entities involved in the commercialization of BPC-157 represent a significant conflict of interest that is not consistently disclosed in his publications. Dr. Sikiric is connected to Diagen d.o.o., the Slovenian company that manufactures BPC-157, and to PharmaCotherapia, the Croatian company that registered the abandoned Phase I clinical trial. These relationships create a financial incentive for positive research outcomes that could, consciously or unconsciously, influence experimental design, data analysis, or publication decisions. While financial conflicts of interest do not automatically invalidate research findings, the scientific community's expectation is that such conflicts should be prominently and consistently disclosed — a standard that has not always been met in the BPC-157 literature.</w:t>
      </w:r>
    </w:p>
    <w:p>
      <w:pPr>
        <w:pStyle w:val="Heading2"/>
      </w:pPr>
      <w:r>
        <w:rPr>
          <w:rFonts w:ascii="Calibri" w:hAnsi="Calibri"/>
          <w:color w:val="0B2A4A"/>
        </w:rPr>
        <w:t>The STAT/Undark Investigation</w:t>
      </w:r>
    </w:p>
    <w:p>
      <w:r>
        <w:rPr>
          <w:rFonts w:ascii="Calibri" w:hAnsi="Calibri"/>
          <w:b w:val="0"/>
          <w:i w:val="0"/>
          <w:sz w:val="22"/>
        </w:rPr>
        <w:t>In February 2026, the investigative journalism outlets STAT News and Undark Magazine published a joint investigation into the BPC-157 research landscape. The investigation highlighted several concerns: the concentration of publications in one laboratory, the undisclosed financial conflicts, the abandoned Phase I trial data, and the growing unregulated market for BPC-157 products. The investigation interviewed independent experts who expressed skepticism about the BPC-157 literature and concern about the lack of independent replication. It also documented the growing online community of self-experimenters and the proliferation of compounding pharmacies selling BPC-157 products of unknown purity and potency. The STAT/Undark investigation brought mainstream media attention to the BPC-157 controversies and increased pressure on regulatory agencies to address the unregulated market.</w:t>
      </w:r>
    </w:p>
    <w:p>
      <w:pPr>
        <w:pStyle w:val="Heading2"/>
      </w:pPr>
      <w:r>
        <w:rPr>
          <w:rFonts w:ascii="Calibri" w:hAnsi="Calibri"/>
          <w:color w:val="0B2A4A"/>
        </w:rPr>
        <w:t>The Polish vs. Croatian Debate</w:t>
      </w:r>
    </w:p>
    <w:p>
      <w:r>
        <w:rPr>
          <w:rFonts w:ascii="Calibri" w:hAnsi="Calibri"/>
          <w:b w:val="0"/>
          <w:i w:val="0"/>
          <w:sz w:val="22"/>
        </w:rPr>
        <w:t>A specific scientific controversy has emerged between the Zagreb group and a Polish research group regarding the safety of BPC-157, particularly its potential cancer risk. The Polish group has published papers raising concerns about BPC-157's activation of pro-tumorigenic signaling pathways, including the FAK-paxillin and VEGFR2 pathways discussed in Chapter 4. They argue that the Zagreb group's claims of anti-tumor activity for BPC-157 are not adequately supported by the published data and that the potential for cancer promotion warrants much more rigorous investigation before BPC-157 is used in humans. The Zagreb group has responded by citing their own data showing BPC-157's anti-tumor effects and the context-dependent nature of its angiogenic activity. This debate remains unresolved and represents a genuine scientific disagreement that can only be settled through additional, independent research.</w:t>
      </w:r>
    </w:p>
    <w:p>
      <w:pPr>
        <w:pStyle w:val="Heading2"/>
      </w:pPr>
      <w:r>
        <w:rPr>
          <w:rFonts w:ascii="Calibri" w:hAnsi="Calibri"/>
          <w:color w:val="0B2A4A"/>
        </w:rPr>
        <w:t>The Unregulated Market</w:t>
      </w:r>
    </w:p>
    <w:p>
      <w:r>
        <w:rPr>
          <w:rFonts w:ascii="Calibri" w:hAnsi="Calibri"/>
          <w:b w:val="0"/>
          <w:i w:val="0"/>
          <w:sz w:val="22"/>
        </w:rPr>
        <w:t>The lack of FDA approval for BPC-157 has not prevented its widespread availability and use. Compounding pharmacies in the United States have sold BPC-157 preparations, and 'research chemical' suppliers have offered the peptide for purchase online with the nominal disclaimer that it is 'for research purposes only, not for human consumption.' The purity, potency, and sterility of these products are largely unverified, creating significant safety risks for users. Third-party testing by consumer advocacy groups has found that some commercial BPC-157 products contain significantly less peptide than labeled, are contaminated with other peptides or chemicals, or fail sterility testing. Users who inject these products are exposed to risks of infection, allergic reaction, and unknown toxicity from contaminants.</w:t>
      </w:r>
    </w:p>
    <w:p>
      <w:r>
        <w:rPr>
          <w:rFonts w:ascii="Calibri" w:hAnsi="Calibri"/>
          <w:b w:val="0"/>
          <w:i w:val="0"/>
          <w:sz w:val="22"/>
        </w:rPr>
        <w:t>The Reddit community r/peptides and related forums have become de facto registries of self-experimentation with BPC-157, with thousands of users sharing dosing protocols, injection techniques, subjective experiences, and purported side effects. Commonly reported side effects in these forums include temporary anxiety or restlessness (particularly with subcutaneous injection), chest tightness or heart palpitations, a sense of emotional flatness or anhedonia (reduced ability to feel pleasure), headaches, and fatigue. These reports are entirely anecdotal and may not represent true drug effects (they could be caused by contaminants, nocebo effects, or the injection process itself), but they provide a signal that BPC-157 may have neuropsychiatric effects that deserve investigation in controlled studies.</w:t>
      </w:r>
    </w:p>
    <w:p>
      <w:pPr>
        <w:pStyle w:val="Heading2"/>
      </w:pPr>
      <w:r>
        <w:rPr>
          <w:rFonts w:ascii="Calibri" w:hAnsi="Calibri"/>
          <w:color w:val="0B2A4A"/>
        </w:rPr>
        <w:t>FDA Enforcement and the Tailor Made Prosecution</w:t>
      </w:r>
    </w:p>
    <w:p>
      <w:r>
        <w:rPr>
          <w:rFonts w:ascii="Calibri" w:hAnsi="Calibri"/>
          <w:b w:val="0"/>
          <w:i w:val="0"/>
          <w:sz w:val="22"/>
        </w:rPr>
        <w:t>The FDA has taken enforcement action against companies selling BPC-157 products. Warning letters have been issued to several compounding pharmacies that sold BPC-157 injections, with the FDA citing the peptide's status as an unapproved new drug and the lack of adequate evidence for its safety and efficacy. The most significant enforcement action was the criminal prosecution of Tailor Made Compounding, a major compounding pharmacy that sold BPC-157 and other peptides on a large scale. The prosecution alleged violations of federal food and drug law related to the manufacture and sale of unapproved drugs, and it sent a clear signal to the compounding pharmacy industry that peptide sales would face scrutiny.</w:t>
      </w:r>
    </w:p>
    <w:p>
      <w:pPr>
        <w:pStyle w:val="Heading2"/>
      </w:pPr>
      <w:r>
        <w:rPr>
          <w:rFonts w:ascii="Calibri" w:hAnsi="Calibri"/>
          <w:color w:val="0B2A4A"/>
        </w:rPr>
        <w:t>The MAHA Movement and Political Context</w:t>
      </w:r>
    </w:p>
    <w:p>
      <w:r>
        <w:rPr>
          <w:rFonts w:ascii="Calibri" w:hAnsi="Calibri"/>
          <w:b w:val="0"/>
          <w:i w:val="0"/>
          <w:sz w:val="22"/>
        </w:rPr>
        <w:t>The BPC-157 controversy has become intertwined with broader political movements around health freedom and regulatory reform. Robert F. Kennedy Jr., in his role leading the 'Make America Healthy Again' (MAHA) movement, has expressed interest in reforming FDA regulations to allow easier access to peptides and other alternative therapies. The MAHA movement views the FDA's restrictions on BPC-157 and other peptides as examples of regulatory overreach that prevents individuals from accessing potentially beneficial treatments. This political context has added a charged dimension to the BPC-157 debate, with proponents framing regulatory restriction as suppression of innovation and critics warning that premature deregulation could expose patients to unproven and potentially harmful substances.</w:t>
      </w:r>
    </w:p>
    <w:p>
      <w:r>
        <w:br w:type="page"/>
      </w:r>
    </w:p>
    <w:p>
      <w:pPr>
        <w:pStyle w:val="Heading1"/>
      </w:pPr>
      <w:r>
        <w:rPr>
          <w:rFonts w:ascii="Calibri" w:hAnsi="Calibri"/>
          <w:color w:val="0B2A4A"/>
        </w:rPr>
        <w:t>Chapter 10: Regulatory Landscape</w:t>
      </w:r>
    </w:p>
    <w:p>
      <w:pPr>
        <w:pStyle w:val="Heading2"/>
      </w:pPr>
      <w:r>
        <w:rPr>
          <w:rFonts w:ascii="Calibri" w:hAnsi="Calibri"/>
          <w:color w:val="0B2A4A"/>
        </w:rPr>
        <w:t>FDA Category 2 Classification</w:t>
      </w:r>
    </w:p>
    <w:p>
      <w:r>
        <w:rPr>
          <w:rFonts w:ascii="Calibri" w:hAnsi="Calibri"/>
          <w:b w:val="0"/>
          <w:i w:val="0"/>
          <w:sz w:val="22"/>
        </w:rPr>
        <w:t>In September 2023, the FDA reclassified BPC-157 from Category 1 to Category 2 on its list of bulk drug substances that can be used by compounding pharmacies under Section 503A and 503B of the Federal Food, Drug, and Cosmetic Act. Category 1 substances are those for which there is substantial evidence of safety and a history of use, and which compounding pharmacies can use to prepare custom medications for individual patients. Category 2 substances are those that do not meet the Category 1 criteria due to insufficient safety data or other concerns, and for which additional evaluation is needed. The reclassification to Category 2 effectively restricted the ability of compounding pharmacies to legally prepare and sell BPC-157 products in the United States.</w:t>
      </w:r>
    </w:p>
    <w:p>
      <w:r>
        <w:rPr>
          <w:rFonts w:ascii="Calibri" w:hAnsi="Calibri"/>
          <w:b w:val="0"/>
          <w:i w:val="0"/>
          <w:sz w:val="22"/>
        </w:rPr>
        <w:t>The FDA's rationale for the reclassification cited the lack of adequate human safety data, the absence of a pharmacopeial monograph or USP standard for BPC-157, and concerns about the quality and consistency of commercially available BPC-157 preparations. The FDA noted that while preclinical data suggested biological activity, the absence of controlled human safety studies meant that the risk-benefit profile of BPC-157 could not be adequately assessed. The reclassification was controversial, with peptide therapy advocates arguing that the FDA was being overly cautious and that patients with unmet medical needs were being denied access to a potentially beneficial therapy.</w:t>
      </w:r>
    </w:p>
    <w:p>
      <w:pPr>
        <w:pStyle w:val="Heading2"/>
      </w:pPr>
      <w:r>
        <w:rPr>
          <w:rFonts w:ascii="Calibri" w:hAnsi="Calibri"/>
          <w:color w:val="0B2A4A"/>
        </w:rPr>
        <w:t>WADA Ban</w:t>
      </w:r>
    </w:p>
    <w:p>
      <w:r>
        <w:rPr>
          <w:rFonts w:ascii="Calibri" w:hAnsi="Calibri"/>
          <w:b w:val="0"/>
          <w:i w:val="0"/>
          <w:sz w:val="22"/>
        </w:rPr>
        <w:t>The World Anti-Doping Agency (WADA) added BPC-157 to its Prohibited List in 2022, classifying it as a peptide hormone and growth factor under Section S2 of the list. The ban applies to all competition and out-of-competition testing, meaning that athletes who test positive for BPC-157 or its metabolites face sanctions regardless of when they used the substance. WADA's decision was based on the peptide's documented ability to promote tissue repair, angiogenesis, and potentially enhance recovery from sports injuries — effects that could confer a competitive advantage. The ban has complicated the use of BPC-157 by professional and amateur athletes who had been using the peptide to accelerate injury recovery. Detection methods for BPC-157 in urine have been developed using LC-MS/MS techniques, and the peptide's urinary detectability for up to 4 days post-dose means that athletes face a meaningful risk of detection.</w:t>
      </w:r>
    </w:p>
    <w:p>
      <w:pPr>
        <w:pStyle w:val="Heading2"/>
      </w:pPr>
      <w:r>
        <w:rPr>
          <w:rFonts w:ascii="Calibri" w:hAnsi="Calibri"/>
          <w:color w:val="0B2A4A"/>
        </w:rPr>
        <w:t>International Regulatory Landscape</w:t>
      </w:r>
    </w:p>
    <w:p>
      <w:r>
        <w:rPr>
          <w:rFonts w:ascii="Calibri" w:hAnsi="Calibri"/>
          <w:b w:val="0"/>
          <w:i w:val="0"/>
          <w:sz w:val="22"/>
        </w:rPr>
        <w:t>The regulatory status of BPC-157 varies internationally. In Australia, the Therapeutic Goods Administration (TGA) has not approved BPC-157 for any indication, and at least one general practitioner has been suspended for prescribing BPC-157 injections to patients. In the European Union, BPC-157 is not approved as a medicinal product, though it may be available through certain research suppliers. In many countries, BPC-157 exists in a regulatory gray area — it is not explicitly banned as a controlled substance, but it is also not approved for human use, and its sale for human consumption may violate food and drug regulations.</w:t>
      </w:r>
    </w:p>
    <w:p>
      <w:pPr>
        <w:pStyle w:val="Heading2"/>
      </w:pPr>
      <w:r>
        <w:rPr>
          <w:rFonts w:ascii="Calibri" w:hAnsi="Calibri"/>
          <w:color w:val="0B2A4A"/>
        </w:rPr>
        <w:t>Implications for Legitimate Development</w:t>
      </w:r>
    </w:p>
    <w:p>
      <w:r>
        <w:rPr>
          <w:rFonts w:ascii="Calibri" w:hAnsi="Calibri"/>
          <w:b w:val="0"/>
          <w:i w:val="0"/>
          <w:sz w:val="22"/>
        </w:rPr>
        <w:t>The current regulatory environment creates both challenges and opportunities for legitimate pharmaceutical development of BPC-157 or modified analogs. On the challenge side, the FDA's Category 2 classification and the general skepticism of regulatory agencies toward peptides with limited human safety data mean that any developer will need to invest significantly in preclinical and clinical safety studies before gaining approval. On the opportunity side, the strong preclinical evidence base, the large unmet medical need in conditions like tendinopathy and IBD, and the demonstrated public demand for BPC-157 products create a market opportunity for a company that can navigate the regulatory pathway successfully. A modified analog that addresses the half-life limitation and can be patented would be well-positioned to capture this market, as discussed in Chapter 12.</w:t>
      </w:r>
    </w:p>
    <w:p>
      <w:r>
        <w:br w:type="page"/>
      </w:r>
    </w:p>
    <w:p>
      <w:pPr>
        <w:pStyle w:val="Heading1"/>
      </w:pPr>
      <w:r>
        <w:rPr>
          <w:rFonts w:ascii="Calibri" w:hAnsi="Calibri"/>
          <w:color w:val="0B2A4A"/>
        </w:rPr>
        <w:t>Chapter 11: Competitive Landscape</w:t>
      </w:r>
    </w:p>
    <w:p>
      <w:pPr>
        <w:pStyle w:val="Heading2"/>
      </w:pPr>
      <w:r>
        <w:rPr>
          <w:rFonts w:ascii="Calibri" w:hAnsi="Calibri"/>
          <w:color w:val="0B2A4A"/>
        </w:rPr>
        <w:t>Key Players in BPC-157 Development</w:t>
      </w:r>
    </w:p>
    <w:p>
      <w:r>
        <w:rPr>
          <w:rFonts w:ascii="Calibri" w:hAnsi="Calibri"/>
          <w:b w:val="0"/>
          <w:i w:val="0"/>
          <w:sz w:val="22"/>
        </w:rPr>
        <w:t>The BPC-157 competitive landscape is fragmented, with several entities pursuing different aspects of BPC-157 research and commercialization. Hudson Biotech is currently the most advanced company in terms of clinical development, with their Phase 2 hamstring tendon trial (NCT07437547) representing the first rigorously designed efficacy study of BPC-157 in humans. Hudson appears to be developing native (unmodified) BPC-157 as an injectable formulation, which limits their patent protection options but allows them to leverage the existing preclinical data base.</w:t>
      </w:r>
    </w:p>
    <w:p>
      <w:r>
        <w:rPr>
          <w:rFonts w:ascii="Calibri" w:hAnsi="Calibri"/>
          <w:b w:val="0"/>
          <w:i w:val="0"/>
          <w:sz w:val="22"/>
        </w:rPr>
        <w:t>Diagen d.o.o., based in Ljubljana, Slovenia, is the original manufacturer and intellectual property holder for BPC-157. Diagen's role has primarily been as a supplier of research-grade peptide and as a licensor to other entities, rather than as a direct drug developer. Their IP position is based on early filings related to BPC-157 composition of matter and use, but many of these patents have expired or are approaching expiration, limiting the value of their portfolio.</w:t>
      </w:r>
    </w:p>
    <w:p>
      <w:r>
        <w:rPr>
          <w:rFonts w:ascii="Calibri" w:hAnsi="Calibri"/>
          <w:b w:val="0"/>
          <w:i w:val="0"/>
          <w:sz w:val="22"/>
        </w:rPr>
        <w:t>PharmaCotherapia, the Croatian company that registered the abandoned Phase I trial, remains an enigmatic player. Despite the withdrawal of their trial data, PharmaCotherapia has not publicly disclosed whether they intend to resume clinical development or have abandoned the project entirely. Their connection to Dr. Sikiric and their access to the unpublished Phase I data make them a potentially important player if they choose to re-enter the field.</w:t>
      </w:r>
    </w:p>
    <w:p>
      <w:r>
        <w:rPr>
          <w:rFonts w:ascii="Calibri" w:hAnsi="Calibri"/>
          <w:b w:val="0"/>
          <w:i w:val="0"/>
          <w:sz w:val="22"/>
        </w:rPr>
        <w:t>Dr. Brian Lee, who published the three human studies described in Chapter 8, represents a clinician-researcher approach to BPC-157 development. Lee appears to be building a clinical evidence base through small case series, potentially with the goal of establishing BPC-157 as a standard of care in certain clinical contexts. However, without controlled trials, his publications are unlikely to influence regulatory agencies or establish BPC-157 as an approved therapy. The Taiwan group (Hsieh et al.) continues to contribute important mechanistic research but does not appear to be pursuing clinical development. The Chinese group that published the PK study has contributed valuable data but their involvement in BPC-157 development beyond pharmacokinetics is unclear.</w:t>
      </w:r>
    </w:p>
    <w:p>
      <w:pPr>
        <w:pStyle w:val="Heading2"/>
      </w:pPr>
      <w:r>
        <w:rPr>
          <w:rFonts w:ascii="Calibri" w:hAnsi="Calibri"/>
          <w:color w:val="0B2A4A"/>
        </w:rPr>
        <w:t>Adjacent Therapies</w:t>
      </w:r>
    </w:p>
    <w:p>
      <w:r>
        <w:rPr>
          <w:rFonts w:ascii="Calibri" w:hAnsi="Calibri"/>
          <w:b w:val="0"/>
          <w:i w:val="0"/>
          <w:sz w:val="22"/>
        </w:rPr>
        <w:t>BPC-157 exists within a broader landscape of regenerative therapies for soft tissue injuries. Platelet-Rich Plasma (PRP) is the most established competitor, with extensive clinical evidence, widespread physician adoption, and reimbursement in many healthcare systems. PRP involves drawing a patient's blood, concentrating the platelets (which contain growth factors), and injecting the concentrate into the injured tissue. While PRP has shown benefit in some tendon and joint conditions, the evidence is inconsistent, the preparation is variable between clinics and commercial systems, and the mechanism of action is relatively nonspecific.</w:t>
      </w:r>
    </w:p>
    <w:p>
      <w:r>
        <w:rPr>
          <w:rFonts w:ascii="Calibri" w:hAnsi="Calibri"/>
          <w:b w:val="0"/>
          <w:i w:val="0"/>
          <w:sz w:val="22"/>
        </w:rPr>
        <w:t>TB-500 (Thymosin Beta-4) is a 43-amino-acid peptide that promotes wound healing, cardiac repair, and hair growth through its effects on actin dynamics and cell migration. TB-500 has a more advanced clinical development program than BPC-157 in some indications (particularly cardiac repair after myocardial infarction) but faces similar challenges related to its short half-life and limited oral bioavailability. Scaffold-based approaches, including collagen matrices, synthetic biomaterials, and decellularized tissue grafts, represent an entirely different paradigm for tissue repair that focuses on providing a structural template for regeneration rather than a pharmacological stimulus.</w:t>
      </w:r>
    </w:p>
    <w:p>
      <w:pPr>
        <w:pStyle w:val="Heading2"/>
      </w:pPr>
      <w:r>
        <w:rPr>
          <w:rFonts w:ascii="Calibri" w:hAnsi="Calibri"/>
          <w:color w:val="0B2A4A"/>
        </w:rPr>
        <w:t>The Analog Opportunity</w:t>
      </w:r>
    </w:p>
    <w:p>
      <w:r>
        <w:rPr>
          <w:rFonts w:ascii="Calibri" w:hAnsi="Calibri"/>
          <w:b w:val="0"/>
          <w:i w:val="0"/>
          <w:sz w:val="22"/>
        </w:rPr>
        <w:t>Critically, no entity currently appears to be developing a chemically modified analog of BPC-157 with improved pharmacokinetic properties. All current development efforts focus on the native fifteen-amino-acid peptide. This creates a significant opportunity for a company that can design, synthesize, and validate a modified BPC-157 analog with extended half-life, improved bioavailability, and patent-protected composition of matter. Such an analog would have significant competitive advantages over both native BPC-157 and adjacent therapies, as discussed in the next chapter.</w:t>
      </w:r>
    </w:p>
    <w:p>
      <w:r>
        <w:br w:type="page"/>
      </w:r>
    </w:p>
    <w:p>
      <w:pPr>
        <w:pStyle w:val="Heading1"/>
      </w:pPr>
      <w:r>
        <w:rPr>
          <w:rFonts w:ascii="Calibri" w:hAnsi="Calibri"/>
          <w:color w:val="0B2A4A"/>
        </w:rPr>
        <w:t>Chapter 12: The Business Case for a Modified Analog</w:t>
      </w:r>
    </w:p>
    <w:p>
      <w:pPr>
        <w:pStyle w:val="Heading2"/>
      </w:pPr>
      <w:r>
        <w:rPr>
          <w:rFonts w:ascii="Calibri" w:hAnsi="Calibri"/>
          <w:color w:val="0B2A4A"/>
        </w:rPr>
        <w:t>The Problem with Native BPC-157</w:t>
      </w:r>
    </w:p>
    <w:p>
      <w:r>
        <w:rPr>
          <w:rFonts w:ascii="Calibri" w:hAnsi="Calibri"/>
          <w:b w:val="0"/>
          <w:i w:val="0"/>
          <w:sz w:val="22"/>
        </w:rPr>
        <w:t>As discussed in Chapter 6, the native BPC-157 peptide has a plasma half-life of less than 30 minutes. This rapid clearance means that maintaining therapeutic plasma concentrations would require either continuous infusion or impractically frequent injections. While the preclinical efficacy data with once-daily dosing are impressive, the PK profile creates significant challenges for clinical development: regulatory agencies will want to understand how a drug with a 30-minute half-life can produce effects lasting 24 hours or more, and the disconnect between PK and pharmacodynamics will complicate dose-finding studies, exposure-response modeling, and the establishment of a therapeutic window.</w:t>
      </w:r>
    </w:p>
    <w:p>
      <w:r>
        <w:rPr>
          <w:rFonts w:ascii="Calibri" w:hAnsi="Calibri"/>
          <w:b w:val="0"/>
          <w:i w:val="0"/>
          <w:sz w:val="22"/>
        </w:rPr>
        <w:t>Additionally, native BPC-157 is a naturally derived peptide sequence that has been published extensively in the scientific literature. This creates substantial challenges for patent protection. Composition of matter patents — the strongest form of pharmaceutical intellectual property — are generally unavailable for naturally occurring sequences. While use patents (protecting specific therapeutic applications) and formulation patents (protecting specific delivery systems) may be obtainable, they provide weaker protection and are easier for competitors to design around. Without strong patent protection, a company investing hundreds of millions of dollars in clinical development cannot adequately protect its investment from generic competition.</w:t>
      </w:r>
    </w:p>
    <w:p>
      <w:pPr>
        <w:pStyle w:val="Heading2"/>
      </w:pPr>
      <w:r>
        <w:rPr>
          <w:rFonts w:ascii="Calibri" w:hAnsi="Calibri"/>
          <w:color w:val="0B2A4A"/>
        </w:rPr>
        <w:t>Modification Strategies</w:t>
      </w:r>
    </w:p>
    <w:p>
      <w:r>
        <w:rPr>
          <w:rFonts w:ascii="Calibri" w:hAnsi="Calibri"/>
          <w:b w:val="0"/>
          <w:i w:val="0"/>
          <w:sz w:val="22"/>
        </w:rPr>
        <w:t>Several well-established peptide engineering strategies could be applied to BPC-157 to extend its half-life while preserving or enhancing its biological activity. PEGylation involves the covalent attachment of polyethylene glycol (PEG) chains to the peptide. PEG is a biocompatible, water-soluble polymer that increases the hydrodynamic radius of the peptide, reducing its rate of renal filtration and enzymatic degradation. PEGylated peptides and proteins routinely achieve half-lives of hours to days. PEGylation of BPC-157 could potentially be achieved at the N-terminal amine, the lysine-7 epsilon amine, or the C-terminal carboxylate, though the choice of attachment site would need to be guided by structure-activity relationship studies to avoid disrupting the residues required for biological activity.</w:t>
      </w:r>
    </w:p>
    <w:p>
      <w:r>
        <w:rPr>
          <w:rFonts w:ascii="Calibri" w:hAnsi="Calibri"/>
          <w:b w:val="0"/>
          <w:i w:val="0"/>
          <w:sz w:val="22"/>
        </w:rPr>
        <w:t>Lipidation involves the attachment of fatty acid chains (such as palmitic acid or stearic acid) to the peptide, enabling it to bind to albumin in the bloodstream. Since albumin has a half-life of approximately 19 days in humans, albumin-bound peptides are protected from degradation and renal clearance, dramatically extending their duration of action. This strategy has been successfully employed in several FDA-approved drugs, including semaglutide (Ozempic/Wegovy) and liraglutide (Victoza/Saxenda), which are GLP-1 receptor agonist peptides with half-lives extended from minutes to hours or days through lipidation.</w:t>
      </w:r>
    </w:p>
    <w:p>
      <w:r>
        <w:rPr>
          <w:rFonts w:ascii="Calibri" w:hAnsi="Calibri"/>
          <w:b w:val="0"/>
          <w:i w:val="0"/>
          <w:sz w:val="22"/>
        </w:rPr>
        <w:t>D-amino acid substitution involves replacing one or more L-amino acids in the peptide with their mirror-image D-amino acid counterparts. Most proteases are stereospecific, meaning they can only cleave peptide bonds between L-amino acids. Strategic D-amino acid substitutions at protease-susceptible positions can dramatically increase protease resistance. Cyclization involves connecting the N-terminus to the C-terminus (head-to-tail cyclization) or creating internal bridges between side chains (stapled peptides) to reduce the conformational flexibility that proteases exploit to access peptide bonds. Both approaches have been shown to increase the half-life of therapeutic peptides.</w:t>
      </w:r>
    </w:p>
    <w:p>
      <w:pPr>
        <w:pStyle w:val="Heading2"/>
      </w:pPr>
      <w:r>
        <w:rPr>
          <w:rFonts w:ascii="Calibri" w:hAnsi="Calibri"/>
          <w:color w:val="0B2A4A"/>
        </w:rPr>
        <w:t>The Market Opportunity</w:t>
      </w:r>
    </w:p>
    <w:p>
      <w:r>
        <w:rPr>
          <w:rFonts w:ascii="Calibri" w:hAnsi="Calibri"/>
          <w:b w:val="0"/>
          <w:i w:val="0"/>
          <w:sz w:val="22"/>
        </w:rPr>
        <w:t>A modified BPC-157 analog with a half-life of 4 to 24 hours would qualify as a New Chemical Entity (NCE) under FDA regulations, entitling it to 5 years of data exclusivity, potential orphan drug designation for rare indications, and 12 years of biologics exclusivity if classified as a biologic rather than a small molecule. Combined with composition of matter patents on the novel analog (which could provide 20 years of protection from the filing date), a modified BPC-157 analog would have a robust intellectual property position that would attract pharmaceutical investment and deter generic competition.</w:t>
      </w:r>
    </w:p>
    <w:p>
      <w:r>
        <w:rPr>
          <w:rFonts w:ascii="Calibri" w:hAnsi="Calibri"/>
          <w:b w:val="0"/>
          <w:i w:val="0"/>
          <w:sz w:val="22"/>
        </w:rPr>
        <w:t>The target market for a BPC-157 analog spans several large and growing therapeutic areas. The global soft tissue repair market is valued at approximately $6.6 billion and growing, driven by the increasing incidence of sports injuries, the aging population, and the demand for minimally invasive treatments. The peptide therapeutics market exceeds $50 billion annually and is one of the fastest-growing segments of the pharmaceutical industry. Within specific indications, the market for tendon repair therapeutics, inflammatory bowel disease treatments, and neuroprotective agents each represents multi-billion dollar opportunities.</w:t>
      </w:r>
    </w:p>
    <w:p>
      <w:r>
        <w:rPr>
          <w:rFonts w:ascii="Calibri" w:hAnsi="Calibri"/>
          <w:b w:val="0"/>
          <w:i w:val="0"/>
          <w:sz w:val="22"/>
        </w:rPr>
        <w:t>Revenue projections for a modified BPC-157 analog depend heavily on the clinical indications pursued and the success of clinical trials. A conservative scenario targeting a single large indication (such as Achilles tendinopathy or rotator cuff tendinopathy) with favorable Phase 2 and Phase 3 results could support peak annual revenues of $500 million to $1 billion. A more aggressive scenario with multiple approved indications spanning musculoskeletal, gastrointestinal, and neurological applications could support peak revenues of $2 to $5 billion annually. These projections are speculative and depend on clinical success, but they illustrate the magnitude of the commercial opportunity that a properly developed BPC-157 analog could capture. The combination of a strong scientific rationale, extensive preclinical data, demonstrated public demand, and a clear path to patent protection makes the modified BPC-157 analog one of the more compelling opportunities in peptide drug development today.</w:t>
      </w:r>
    </w:p>
    <w:p>
      <w:r>
        <w:br w:type="page"/>
      </w:r>
    </w:p>
    <w:p>
      <w:pPr>
        <w:pStyle w:val="Heading1"/>
      </w:pPr>
      <w:r>
        <w:rPr>
          <w:rFonts w:ascii="Calibri" w:hAnsi="Calibri"/>
          <w:color w:val="0B2A4A"/>
        </w:rPr>
        <w:t>Chapter 13: Glossary</w:t>
      </w:r>
    </w:p>
    <w:p>
      <w:r>
        <w:rPr>
          <w:rFonts w:ascii="Calibri" w:hAnsi="Calibri"/>
          <w:b/>
          <w:sz w:val="22"/>
        </w:rPr>
        <w:t xml:space="preserve">Amino acid: </w:t>
      </w:r>
      <w:r>
        <w:rPr>
          <w:rFonts w:ascii="Calibri" w:hAnsi="Calibri"/>
          <w:sz w:val="22"/>
        </w:rPr>
        <w:t>One of twenty organic molecules that serve as the building blocks of proteins and peptides. Each amino acid has a central carbon atom bonded to an amino group, a carboxylic acid group, a hydrogen atom, and a unique side chain that determines its chemical properties.</w:t>
      </w:r>
    </w:p>
    <w:p>
      <w:r>
        <w:rPr>
          <w:rFonts w:ascii="Calibri" w:hAnsi="Calibri"/>
          <w:b/>
          <w:sz w:val="22"/>
        </w:rPr>
        <w:t xml:space="preserve">Angiogenesis: </w:t>
      </w:r>
      <w:r>
        <w:rPr>
          <w:rFonts w:ascii="Calibri" w:hAnsi="Calibri"/>
          <w:sz w:val="22"/>
        </w:rPr>
        <w:t>The process of forming new blood vessels from pre-existing ones. Critical for tissue repair, as healing tissues require a blood supply for oxygen and nutrients. BPC-157 promotes angiogenesis through the VEGFR2-Akt-eNOS pathway.</w:t>
      </w:r>
    </w:p>
    <w:p>
      <w:r>
        <w:rPr>
          <w:rFonts w:ascii="Calibri" w:hAnsi="Calibri"/>
          <w:b/>
          <w:sz w:val="22"/>
        </w:rPr>
        <w:t xml:space="preserve">Akt (Protein Kinase B): </w:t>
      </w:r>
      <w:r>
        <w:rPr>
          <w:rFonts w:ascii="Calibri" w:hAnsi="Calibri"/>
          <w:sz w:val="22"/>
        </w:rPr>
        <w:t>A serine/threonine kinase that plays central roles in cell survival, growth, and metabolism. Activated by VEGFR2 signaling in endothelial cells, Akt phosphorylates eNOS to promote nitric oxide production.</w:t>
      </w:r>
    </w:p>
    <w:p>
      <w:r>
        <w:rPr>
          <w:rFonts w:ascii="Calibri" w:hAnsi="Calibri"/>
          <w:b/>
          <w:sz w:val="22"/>
        </w:rPr>
        <w:t xml:space="preserve">Bioavailability: </w:t>
      </w:r>
      <w:r>
        <w:rPr>
          <w:rFonts w:ascii="Calibri" w:hAnsi="Calibri"/>
          <w:sz w:val="22"/>
        </w:rPr>
        <w:t>The fraction of an administered dose of drug that reaches the systemic circulation in its active form. For BPC-157 administered intramuscularly, bioavailability is 14-19% in rats and 45-51% in dogs.</w:t>
      </w:r>
    </w:p>
    <w:p>
      <w:r>
        <w:rPr>
          <w:rFonts w:ascii="Calibri" w:hAnsi="Calibri"/>
          <w:b/>
          <w:sz w:val="22"/>
        </w:rPr>
        <w:t xml:space="preserve">Caveolin-1: </w:t>
      </w:r>
      <w:r>
        <w:rPr>
          <w:rFonts w:ascii="Calibri" w:hAnsi="Calibri"/>
          <w:sz w:val="22"/>
        </w:rPr>
        <w:t>A scaffolding protein found in caveolae (small invaginations of the cell membrane). Caveolin-1 inhibits eNOS by direct binding; BPC-157 promotes Src-mediated phosphorylation of Caveolin-1, releasing eNOS from inhibition.</w:t>
      </w:r>
    </w:p>
    <w:p>
      <w:r>
        <w:rPr>
          <w:rFonts w:ascii="Calibri" w:hAnsi="Calibri"/>
          <w:b/>
          <w:sz w:val="22"/>
        </w:rPr>
        <w:t xml:space="preserve">Cytoprotection: </w:t>
      </w:r>
      <w:r>
        <w:rPr>
          <w:rFonts w:ascii="Calibri" w:hAnsi="Calibri"/>
          <w:sz w:val="22"/>
        </w:rPr>
        <w:t>The protection of cells from harmful agents or conditions. BPC-157 was originally identified as a cytoprotective factor in gastric juice that protects the stomach lining from acid and enzyme damage.</w:t>
      </w:r>
    </w:p>
    <w:p>
      <w:r>
        <w:rPr>
          <w:rFonts w:ascii="Calibri" w:hAnsi="Calibri"/>
          <w:b/>
          <w:sz w:val="22"/>
        </w:rPr>
        <w:t xml:space="preserve">D-amino acid: </w:t>
      </w:r>
      <w:r>
        <w:rPr>
          <w:rFonts w:ascii="Calibri" w:hAnsi="Calibri"/>
          <w:sz w:val="22"/>
        </w:rPr>
        <w:t>The mirror-image form of the standard L-amino acids used in biology. D-amino acid substitution in peptides can increase protease resistance because most enzymes only recognize L-amino acids.</w:t>
      </w:r>
    </w:p>
    <w:p>
      <w:r>
        <w:rPr>
          <w:rFonts w:ascii="Calibri" w:hAnsi="Calibri"/>
          <w:b/>
          <w:sz w:val="22"/>
        </w:rPr>
        <w:t xml:space="preserve">eNOS (Endothelial Nitric Oxide Synthase): </w:t>
      </w:r>
      <w:r>
        <w:rPr>
          <w:rFonts w:ascii="Calibri" w:hAnsi="Calibri"/>
          <w:sz w:val="22"/>
        </w:rPr>
        <w:t>The enzyme in blood vessel lining cells that produces nitric oxide, a signaling molecule that dilates blood vessels and promotes angiogenesis. Also called NOS3. Upregulated by BPC-157.</w:t>
      </w:r>
    </w:p>
    <w:p>
      <w:r>
        <w:rPr>
          <w:rFonts w:ascii="Calibri" w:hAnsi="Calibri"/>
          <w:b/>
          <w:sz w:val="22"/>
        </w:rPr>
        <w:t xml:space="preserve">ERK1/2: </w:t>
      </w:r>
      <w:r>
        <w:rPr>
          <w:rFonts w:ascii="Calibri" w:hAnsi="Calibri"/>
          <w:sz w:val="22"/>
        </w:rPr>
        <w:t>Extracellular Signal-Regulated Kinases 1 and 2. Members of the MAP kinase family that promote cell growth and differentiation. BPC-157 causes dose-dependent ERK1/2 phosphorylation.</w:t>
      </w:r>
    </w:p>
    <w:p>
      <w:r>
        <w:rPr>
          <w:rFonts w:ascii="Calibri" w:hAnsi="Calibri"/>
          <w:b/>
          <w:sz w:val="22"/>
        </w:rPr>
        <w:t xml:space="preserve">EGR-1 (Early Growth Response-1): </w:t>
      </w:r>
      <w:r>
        <w:rPr>
          <w:rFonts w:ascii="Calibri" w:hAnsi="Calibri"/>
          <w:sz w:val="22"/>
        </w:rPr>
        <w:t>A transcription factor rapidly induced by growth stimuli. BPC-157 upregulates EGR-1, which in turn activates genes involved in wound healing. EGR-1 also induces its own inhibitor NAB2, creating a feedback loop.</w:t>
      </w:r>
    </w:p>
    <w:p>
      <w:r>
        <w:rPr>
          <w:rFonts w:ascii="Calibri" w:hAnsi="Calibri"/>
          <w:b/>
          <w:sz w:val="22"/>
        </w:rPr>
        <w:t xml:space="preserve">FAK (Focal Adhesion Kinase): </w:t>
      </w:r>
      <w:r>
        <w:rPr>
          <w:rFonts w:ascii="Calibri" w:hAnsi="Calibri"/>
          <w:sz w:val="22"/>
        </w:rPr>
        <w:t>A kinase at focal adhesion sites that regulates cell adhesion, migration, and survival. Activated by BPC-157 to promote cell migration during wound healing.</w:t>
      </w:r>
    </w:p>
    <w:p>
      <w:r>
        <w:rPr>
          <w:rFonts w:ascii="Calibri" w:hAnsi="Calibri"/>
          <w:b/>
          <w:sz w:val="22"/>
        </w:rPr>
        <w:t xml:space="preserve">Gastric juice: </w:t>
      </w:r>
      <w:r>
        <w:rPr>
          <w:rFonts w:ascii="Calibri" w:hAnsi="Calibri"/>
          <w:sz w:val="22"/>
        </w:rPr>
        <w:t>The digestive fluid secreted by the stomach lining, containing hydrochloric acid, pepsin, mucus, and other factors. BPC-157 derives from a protein found in gastric juice.</w:t>
      </w:r>
    </w:p>
    <w:p>
      <w:r>
        <w:rPr>
          <w:rFonts w:ascii="Calibri" w:hAnsi="Calibri"/>
          <w:b/>
          <w:sz w:val="22"/>
        </w:rPr>
        <w:t xml:space="preserve">Half-life (t½): </w:t>
      </w:r>
      <w:r>
        <w:rPr>
          <w:rFonts w:ascii="Calibri" w:hAnsi="Calibri"/>
          <w:sz w:val="22"/>
        </w:rPr>
        <w:t>The time required for the plasma concentration of a drug to decrease by half. BPC-157's half-life is less than 30 minutes, which is a major limitation for clinical use.</w:t>
      </w:r>
    </w:p>
    <w:p>
      <w:r>
        <w:rPr>
          <w:rFonts w:ascii="Calibri" w:hAnsi="Calibri"/>
          <w:b/>
          <w:sz w:val="22"/>
        </w:rPr>
        <w:t xml:space="preserve">iNOS (Inducible Nitric Oxide Synthase): </w:t>
      </w:r>
      <w:r>
        <w:rPr>
          <w:rFonts w:ascii="Calibri" w:hAnsi="Calibri"/>
          <w:sz w:val="22"/>
        </w:rPr>
        <w:t>An enzyme that produces large amounts of nitric oxide during inflammation. Also called NOS2. Downregulated by BPC-157, reducing inflammatory damage.</w:t>
      </w:r>
    </w:p>
    <w:p>
      <w:r>
        <w:rPr>
          <w:rFonts w:ascii="Calibri" w:hAnsi="Calibri"/>
          <w:b/>
          <w:sz w:val="22"/>
        </w:rPr>
        <w:t xml:space="preserve">Lipidation: </w:t>
      </w:r>
      <w:r>
        <w:rPr>
          <w:rFonts w:ascii="Calibri" w:hAnsi="Calibri"/>
          <w:sz w:val="22"/>
        </w:rPr>
        <w:t>The attachment of fatty acid chains to a peptide to extend its duration of action by promoting binding to albumin in the blood.</w:t>
      </w:r>
    </w:p>
    <w:p>
      <w:r>
        <w:rPr>
          <w:rFonts w:ascii="Calibri" w:hAnsi="Calibri"/>
          <w:b/>
          <w:sz w:val="22"/>
        </w:rPr>
        <w:t xml:space="preserve">NAB2 (NGFI-A Binding Protein 2): </w:t>
      </w:r>
      <w:r>
        <w:rPr>
          <w:rFonts w:ascii="Calibri" w:hAnsi="Calibri"/>
          <w:sz w:val="22"/>
        </w:rPr>
        <w:t>A transcriptional repressor induced by EGR-1 that feeds back to inhibit EGR-1 activity. This feedback loop may prevent runaway cell proliferation from BPC-157 signaling.</w:t>
      </w:r>
    </w:p>
    <w:p>
      <w:r>
        <w:rPr>
          <w:rFonts w:ascii="Calibri" w:hAnsi="Calibri"/>
          <w:b/>
          <w:sz w:val="22"/>
        </w:rPr>
        <w:t xml:space="preserve">NCE (New Chemical Entity): </w:t>
      </w:r>
      <w:r>
        <w:rPr>
          <w:rFonts w:ascii="Calibri" w:hAnsi="Calibri"/>
          <w:sz w:val="22"/>
        </w:rPr>
        <w:t>A pharmaceutical compound that has not been previously approved by a regulatory agency. NCE status provides regulatory exclusivity and patent advantages.</w:t>
      </w:r>
    </w:p>
    <w:p>
      <w:r>
        <w:rPr>
          <w:rFonts w:ascii="Calibri" w:hAnsi="Calibri"/>
          <w:b/>
          <w:sz w:val="22"/>
        </w:rPr>
        <w:t xml:space="preserve">NF-κB (Nuclear Factor kappa B): </w:t>
      </w:r>
      <w:r>
        <w:rPr>
          <w:rFonts w:ascii="Calibri" w:hAnsi="Calibri"/>
          <w:sz w:val="22"/>
        </w:rPr>
        <w:t>A master transcription factor that controls the expression of pro-inflammatory genes. BPC-157 downregulates NF-κB, reducing inflammation.</w:t>
      </w:r>
    </w:p>
    <w:p>
      <w:r>
        <w:rPr>
          <w:rFonts w:ascii="Calibri" w:hAnsi="Calibri"/>
          <w:b/>
          <w:sz w:val="22"/>
        </w:rPr>
        <w:t xml:space="preserve">Nitric oxide (NO): </w:t>
      </w:r>
      <w:r>
        <w:rPr>
          <w:rFonts w:ascii="Calibri" w:hAnsi="Calibri"/>
          <w:sz w:val="22"/>
        </w:rPr>
        <w:t>A gaseous signaling molecule that dilates blood vessels, promotes angiogenesis, and modulates neurotransmission. BPC-157 increases physiological NO (via eNOS) while decreasing inflammatory NO (via iNOS).</w:t>
      </w:r>
    </w:p>
    <w:p>
      <w:r>
        <w:rPr>
          <w:rFonts w:ascii="Calibri" w:hAnsi="Calibri"/>
          <w:b/>
          <w:sz w:val="22"/>
        </w:rPr>
        <w:t xml:space="preserve">Paxillin: </w:t>
      </w:r>
      <w:r>
        <w:rPr>
          <w:rFonts w:ascii="Calibri" w:hAnsi="Calibri"/>
          <w:sz w:val="22"/>
        </w:rPr>
        <w:t>A scaffolding protein at focal adhesion complexes that coordinates cell adhesion and migration. Activated downstream of FAK by BPC-157.</w:t>
      </w:r>
    </w:p>
    <w:p>
      <w:r>
        <w:rPr>
          <w:rFonts w:ascii="Calibri" w:hAnsi="Calibri"/>
          <w:b/>
          <w:sz w:val="22"/>
        </w:rPr>
        <w:t xml:space="preserve">PEGylation: </w:t>
      </w:r>
      <w:r>
        <w:rPr>
          <w:rFonts w:ascii="Calibri" w:hAnsi="Calibri"/>
          <w:sz w:val="22"/>
        </w:rPr>
        <w:t>The covalent attachment of polyethylene glycol (PEG) polymer chains to a molecule to increase its size, reduce renal clearance, and extend its half-life.</w:t>
      </w:r>
    </w:p>
    <w:p>
      <w:r>
        <w:rPr>
          <w:rFonts w:ascii="Calibri" w:hAnsi="Calibri"/>
          <w:b/>
          <w:sz w:val="22"/>
        </w:rPr>
        <w:t xml:space="preserve">Pentadecapeptide: </w:t>
      </w:r>
      <w:r>
        <w:rPr>
          <w:rFonts w:ascii="Calibri" w:hAnsi="Calibri"/>
          <w:sz w:val="22"/>
        </w:rPr>
        <w:t>A peptide composed of exactly fifteen amino acids. BPC-157 is a pentadecapeptide.</w:t>
      </w:r>
    </w:p>
    <w:p>
      <w:r>
        <w:rPr>
          <w:rFonts w:ascii="Calibri" w:hAnsi="Calibri"/>
          <w:b/>
          <w:sz w:val="22"/>
        </w:rPr>
        <w:t xml:space="preserve">Peptide: </w:t>
      </w:r>
      <w:r>
        <w:rPr>
          <w:rFonts w:ascii="Calibri" w:hAnsi="Calibri"/>
          <w:sz w:val="22"/>
        </w:rPr>
        <w:t>A short chain of amino acids linked by peptide bonds. Generally fewer than 50 amino acids (longer chains are called proteins).</w:t>
      </w:r>
    </w:p>
    <w:p>
      <w:r>
        <w:rPr>
          <w:rFonts w:ascii="Calibri" w:hAnsi="Calibri"/>
          <w:b/>
          <w:sz w:val="22"/>
        </w:rPr>
        <w:t xml:space="preserve">Polyproline helix (PPII): </w:t>
      </w:r>
      <w:r>
        <w:rPr>
          <w:rFonts w:ascii="Calibri" w:hAnsi="Calibri"/>
          <w:sz w:val="22"/>
        </w:rPr>
        <w:t>A left-handed helical structure formed by consecutive proline residues. The triple proline in BPC-157 (positions 3-5) forms a PPII helix that confers protease resistance.</w:t>
      </w:r>
    </w:p>
    <w:p>
      <w:r>
        <w:rPr>
          <w:rFonts w:ascii="Calibri" w:hAnsi="Calibri"/>
          <w:b/>
          <w:sz w:val="22"/>
        </w:rPr>
        <w:t xml:space="preserve">Src kinase: </w:t>
      </w:r>
      <w:r>
        <w:rPr>
          <w:rFonts w:ascii="Calibri" w:hAnsi="Calibri"/>
          <w:sz w:val="22"/>
        </w:rPr>
        <w:t>A non-receptor tyrosine kinase involved in cell growth and signaling. BPC-157 activates Src, which phosphorylates Caveolin-1 to release eNOS inhibition.</w:t>
      </w:r>
    </w:p>
    <w:p>
      <w:r>
        <w:rPr>
          <w:rFonts w:ascii="Calibri" w:hAnsi="Calibri"/>
          <w:b/>
          <w:sz w:val="22"/>
        </w:rPr>
        <w:t xml:space="preserve">VEGFR2: </w:t>
      </w:r>
      <w:r>
        <w:rPr>
          <w:rFonts w:ascii="Calibri" w:hAnsi="Calibri"/>
          <w:sz w:val="22"/>
        </w:rPr>
        <w:t>Vascular Endothelial Growth Factor Receptor 2. A tyrosine kinase receptor on blood vessel cells that promotes angiogenesis when activated. A primary molecular target of BPC-157 signaling.</w:t>
      </w:r>
    </w:p>
    <w:p>
      <w:r>
        <w:rPr>
          <w:rFonts w:ascii="Calibri" w:hAnsi="Calibri"/>
          <w:b/>
          <w:sz w:val="22"/>
        </w:rPr>
        <w:t xml:space="preserve">WADA: </w:t>
      </w:r>
      <w:r>
        <w:rPr>
          <w:rFonts w:ascii="Calibri" w:hAnsi="Calibri"/>
          <w:sz w:val="22"/>
        </w:rPr>
        <w:t>World Anti-Doping Agency. The international organization that establishes and enforces anti-doping rules in sport. WADA banned BPC-157 in 2022.</w:t>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Calibri" w:hAnsi="Calibri"/>
        <w:i/>
        <w:color w:val="0B2A4A"/>
        <w:sz w:val="16"/>
      </w:rPr>
      <w:t>Confidential. Prepared by Addison West for Jaycox &amp; Co.</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pPr>
    <w:rPr>
      <w:rFonts w:ascii="Calibri" w:hAnsi="Calibri"/>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240" w:line="276" w:lineRule="auto"/>
      <w:outlineLvl w:val="0"/>
    </w:pPr>
    <w:rPr>
      <w:rFonts w:asciiTheme="majorHAnsi" w:eastAsiaTheme="majorEastAsia" w:hAnsiTheme="majorHAnsi" w:cstheme="majorBidi" w:ascii="Calibri" w:hAnsi="Calibri"/>
      <w:b/>
      <w:bCs/>
      <w:color w:val="0B2A4A"/>
      <w:sz w:val="32"/>
      <w:szCs w:val="28"/>
    </w:rPr>
  </w:style>
  <w:style w:type="paragraph" w:styleId="Heading2">
    <w:name w:val="heading 2"/>
    <w:basedOn w:val="Normal"/>
    <w:next w:val="Normal"/>
    <w:link w:val="Heading2Char"/>
    <w:uiPriority w:val="9"/>
    <w:unhideWhenUsed/>
    <w:qFormat/>
    <w:rsid w:val="00FC693F"/>
    <w:pPr>
      <w:keepNext/>
      <w:keepLines/>
      <w:spacing w:before="360" w:after="160" w:line="276" w:lineRule="auto"/>
      <w:outlineLvl w:val="1"/>
    </w:pPr>
    <w:rPr>
      <w:rFonts w:asciiTheme="majorHAnsi" w:eastAsiaTheme="majorEastAsia" w:hAnsiTheme="majorHAnsi" w:cstheme="majorBidi" w:ascii="Calibri" w:hAnsi="Calibri"/>
      <w:b/>
      <w:bCs/>
      <w:color w:val="0B2A4A"/>
      <w:sz w:val="26"/>
      <w:szCs w:val="26"/>
    </w:rPr>
  </w:style>
  <w:style w:type="paragraph" w:styleId="Heading3">
    <w:name w:val="heading 3"/>
    <w:basedOn w:val="Normal"/>
    <w:next w:val="Normal"/>
    <w:link w:val="Heading3Char"/>
    <w:uiPriority w:val="9"/>
    <w:unhideWhenUsed/>
    <w:qFormat/>
    <w:rsid w:val="00FC693F"/>
    <w:pPr>
      <w:keepNext/>
      <w:keepLines/>
      <w:spacing w:before="240" w:after="120" w:line="276" w:lineRule="auto"/>
      <w:outlineLvl w:val="2"/>
    </w:pPr>
    <w:rPr>
      <w:rFonts w:asciiTheme="majorHAnsi" w:eastAsiaTheme="majorEastAsia" w:hAnsiTheme="majorHAnsi" w:cstheme="majorBidi" w:ascii="Calibri" w:hAnsi="Calibri"/>
      <w:b/>
      <w:bCs/>
      <w:color w:val="0B2A4A"/>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